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26" w:rsidRPr="00685B6D" w:rsidRDefault="00CA2326" w:rsidP="00CA2326">
      <w:pPr>
        <w:rPr>
          <w:rFonts w:cs="Arial"/>
          <w:b/>
          <w:szCs w:val="22"/>
        </w:rPr>
      </w:pPr>
      <w:r w:rsidRPr="00685B6D">
        <w:rPr>
          <w:rFonts w:cs="Arial"/>
          <w:b/>
          <w:szCs w:val="22"/>
        </w:rPr>
        <w:t xml:space="preserve">Annex </w:t>
      </w:r>
      <w:r>
        <w:rPr>
          <w:rFonts w:cs="Arial"/>
          <w:b/>
          <w:szCs w:val="22"/>
        </w:rPr>
        <w:t>III</w:t>
      </w:r>
      <w:r w:rsidRPr="00685B6D">
        <w:rPr>
          <w:rFonts w:cs="Arial"/>
          <w:b/>
          <w:szCs w:val="22"/>
        </w:rPr>
        <w:t>.1: Benc</w:t>
      </w:r>
      <w:r>
        <w:rPr>
          <w:rFonts w:cs="Arial"/>
          <w:b/>
          <w:szCs w:val="22"/>
        </w:rPr>
        <w:t xml:space="preserve">hmarking Against the </w:t>
      </w:r>
      <w:r w:rsidR="00AA25B2">
        <w:rPr>
          <w:rFonts w:cs="Arial"/>
          <w:b/>
          <w:szCs w:val="22"/>
        </w:rPr>
        <w:t xml:space="preserve">Public Sector </w:t>
      </w:r>
      <w:r>
        <w:rPr>
          <w:rFonts w:cs="Arial"/>
          <w:b/>
          <w:szCs w:val="22"/>
        </w:rPr>
        <w:t>GPS</w:t>
      </w:r>
    </w:p>
    <w:p w:rsidR="00CA2326" w:rsidRPr="00685B6D" w:rsidRDefault="00CA2326" w:rsidP="00CA2326">
      <w:pPr>
        <w:pStyle w:val="ListParagraph"/>
        <w:rPr>
          <w:rFonts w:cs="Arial"/>
          <w:szCs w:val="22"/>
        </w:rPr>
      </w:pPr>
    </w:p>
    <w:p w:rsidR="00AA25B2" w:rsidRDefault="00AA25B2" w:rsidP="00AA25B2">
      <w:pPr>
        <w:pStyle w:val="ListParagraph"/>
        <w:numPr>
          <w:ilvl w:val="0"/>
          <w:numId w:val="4"/>
        </w:numPr>
        <w:rPr>
          <w:rFonts w:cs="Arial"/>
          <w:szCs w:val="22"/>
        </w:rPr>
      </w:pPr>
      <w:r w:rsidRPr="00AA25B2">
        <w:rPr>
          <w:rFonts w:cs="Arial"/>
          <w:szCs w:val="22"/>
        </w:rPr>
        <w:t>In benchmarking IFI adherence to these GPS, the following will be taken into account:</w:t>
      </w:r>
      <w:r>
        <w:rPr>
          <w:rFonts w:cs="Arial"/>
          <w:szCs w:val="22"/>
        </w:rPr>
        <w:br/>
      </w:r>
    </w:p>
    <w:p w:rsidR="00AA25B2" w:rsidRDefault="00AA25B2" w:rsidP="00AA25B2">
      <w:pPr>
        <w:pStyle w:val="ListParagraph"/>
        <w:numPr>
          <w:ilvl w:val="1"/>
          <w:numId w:val="7"/>
        </w:numPr>
        <w:rPr>
          <w:rFonts w:cs="Arial"/>
          <w:szCs w:val="22"/>
        </w:rPr>
      </w:pPr>
      <w:r w:rsidRPr="00AA25B2">
        <w:rPr>
          <w:rFonts w:cs="Arial"/>
          <w:szCs w:val="22"/>
        </w:rPr>
        <w:t>Consistency with the GPS is measured on the basis of the IFI’s consistency with the EPs.</w:t>
      </w:r>
    </w:p>
    <w:p w:rsidR="00AA25B2" w:rsidRDefault="00AA25B2" w:rsidP="00AA25B2">
      <w:pPr>
        <w:pStyle w:val="ListParagraph"/>
        <w:numPr>
          <w:ilvl w:val="1"/>
          <w:numId w:val="7"/>
        </w:numPr>
        <w:rPr>
          <w:rFonts w:cs="Arial"/>
          <w:szCs w:val="22"/>
        </w:rPr>
      </w:pPr>
      <w:r w:rsidRPr="00AA25B2">
        <w:rPr>
          <w:rFonts w:cs="Arial"/>
          <w:szCs w:val="22"/>
        </w:rPr>
        <w:t>An IFI can achieve consistency with an EP by implementing all of the associated OPs.  Alternatively, an IFI may also achieve consistency with an EP by adopting other practices that it believes (and the benchmarking consultant agrees) meet the intent of the EP.</w:t>
      </w:r>
    </w:p>
    <w:p w:rsidR="00AA25B2" w:rsidRDefault="00AA25B2" w:rsidP="00AA25B2">
      <w:pPr>
        <w:pStyle w:val="ListParagraph"/>
        <w:numPr>
          <w:ilvl w:val="1"/>
          <w:numId w:val="7"/>
        </w:numPr>
        <w:rPr>
          <w:rFonts w:cs="Arial"/>
          <w:szCs w:val="22"/>
        </w:rPr>
      </w:pPr>
      <w:r w:rsidRPr="00AA25B2">
        <w:rPr>
          <w:rFonts w:cs="Arial"/>
          <w:szCs w:val="22"/>
        </w:rPr>
        <w:t>Unless stated otherwise in the wording of an OP, the judgment that an OP is being implemented should be based on evidence of actual implementation of the OP; it is not sufficient for the IFI to document procedures and policies if these are not carried out in practice.</w:t>
      </w:r>
    </w:p>
    <w:p w:rsidR="00AA25B2" w:rsidRDefault="00AA25B2" w:rsidP="00AA25B2">
      <w:pPr>
        <w:pStyle w:val="ListParagraph"/>
        <w:numPr>
          <w:ilvl w:val="1"/>
          <w:numId w:val="7"/>
        </w:numPr>
        <w:rPr>
          <w:rFonts w:cs="Arial"/>
          <w:szCs w:val="22"/>
        </w:rPr>
      </w:pPr>
      <w:r w:rsidRPr="00AA25B2">
        <w:rPr>
          <w:rFonts w:cs="Arial"/>
          <w:szCs w:val="22"/>
        </w:rPr>
        <w:t>The benchmarking scheme allows for “partial” scores. In other words, OPs may be found to be “fully implemented”, “partially implemented”, or “not implemented”. Consistency with the corresponding EP may be found to be “fully consistent”, “partially consistent”, or “not consistent”. The determination of the EP rating is left to the judgment of the benchmarking consultant, but it would be unusual for an EP to be rated “fully consistent” if one or more of the associated OPs were found to be “partially implemented”.</w:t>
      </w:r>
    </w:p>
    <w:p w:rsidR="00AA25B2" w:rsidRDefault="00AA25B2" w:rsidP="00AA25B2">
      <w:pPr>
        <w:pStyle w:val="ListParagraph"/>
        <w:numPr>
          <w:ilvl w:val="1"/>
          <w:numId w:val="7"/>
        </w:numPr>
        <w:rPr>
          <w:rFonts w:cs="Arial"/>
          <w:szCs w:val="22"/>
        </w:rPr>
      </w:pPr>
      <w:r w:rsidRPr="00AA25B2">
        <w:rPr>
          <w:rFonts w:cs="Arial"/>
          <w:szCs w:val="22"/>
        </w:rPr>
        <w:t>EPs and OPs that are not relevant for an IFI are not included in that IFI’s benchmarking assessment. For example, the GPS contains one EP (#4D) that is relevant only for IFIs that provide policy-based lending. This EP would be ignored for IFIs that do not provide PBLs. In addition, within a particular EP, some OPs may be relevant only for IFIs that provide PBLs. For IFIs that do not provide PBLs, consistency with the EP is based on consistency with the remaining OPs. For example, if an EP has four OPs and one OP is relevant only for IFIs that provide PBLs, the IFIs that do not provide PBLs would be assessed against only the remaining three OPs to determine their consistency with the EP.</w:t>
      </w:r>
      <w:r>
        <w:rPr>
          <w:rFonts w:cs="Arial"/>
          <w:szCs w:val="22"/>
        </w:rPr>
        <w:br/>
      </w:r>
    </w:p>
    <w:p w:rsidR="00CA2326" w:rsidRPr="00AA25B2" w:rsidRDefault="00AA25B2" w:rsidP="00AA25B2">
      <w:pPr>
        <w:pStyle w:val="ListParagraph"/>
        <w:numPr>
          <w:ilvl w:val="0"/>
          <w:numId w:val="4"/>
        </w:numPr>
        <w:rPr>
          <w:rFonts w:cs="Arial"/>
          <w:szCs w:val="22"/>
        </w:rPr>
      </w:pPr>
      <w:r w:rsidRPr="00AA25B2">
        <w:rPr>
          <w:rFonts w:cs="Arial"/>
          <w:szCs w:val="22"/>
        </w:rPr>
        <w:t>The following schematic illustrates the benchmarking process. Benchmarking will be used to characterize the extent of harmonization across institutions at the level of each EP. However, the ECG may decide at a future date to apply a scoring mechanism for comparative purposes.</w:t>
      </w:r>
    </w:p>
    <w:p w:rsidR="00CA2326" w:rsidRPr="00685B6D" w:rsidRDefault="00570D98" w:rsidP="00CA2326">
      <w:pPr>
        <w:rPr>
          <w:rFonts w:cs="Arial"/>
          <w:szCs w:val="22"/>
        </w:rPr>
      </w:pPr>
      <w:r>
        <w:rPr>
          <w:rFonts w:cs="Arial"/>
          <w:noProof/>
          <w:szCs w:val="22"/>
          <w:lang w:eastAsia="en-US"/>
        </w:rPr>
        <w:pict>
          <v:shapetype id="_x0000_t202" coordsize="21600,21600" o:spt="202" path="m,l,21600r21600,l21600,xe">
            <v:stroke joinstyle="miter"/>
            <v:path gradientshapeok="t" o:connecttype="rect"/>
          </v:shapetype>
          <v:shape id="_x0000_s1031" type="#_x0000_t202" style="position:absolute;left:0;text-align:left;margin-left:245.25pt;margin-top:10.75pt;width:129pt;height:47.6pt;z-index:251665408;mso-width-relative:margin;mso-height-relative:margin">
            <v:textbox style="mso-next-textbox:#_x0000_s1031">
              <w:txbxContent>
                <w:p w:rsidR="00CA2326" w:rsidRPr="00CE2F78" w:rsidRDefault="00CA2326" w:rsidP="00CA2326">
                  <w:pPr>
                    <w:jc w:val="center"/>
                    <w:rPr>
                      <w:rFonts w:cs="Arial"/>
                      <w:szCs w:val="22"/>
                    </w:rPr>
                  </w:pPr>
                  <w:r w:rsidRPr="00CE2F78">
                    <w:rPr>
                      <w:rFonts w:cs="Arial"/>
                      <w:szCs w:val="22"/>
                    </w:rPr>
                    <w:t>Determine Consistency</w:t>
                  </w:r>
                </w:p>
                <w:p w:rsidR="00CA2326" w:rsidRPr="00CE2F78" w:rsidRDefault="00CA2326" w:rsidP="00CA2326">
                  <w:pPr>
                    <w:jc w:val="center"/>
                    <w:rPr>
                      <w:rFonts w:cs="Arial"/>
                      <w:szCs w:val="22"/>
                    </w:rPr>
                  </w:pPr>
                  <w:r w:rsidRPr="00CE2F78">
                    <w:rPr>
                      <w:rFonts w:cs="Arial"/>
                      <w:szCs w:val="22"/>
                    </w:rPr>
                    <w:t>with the EP</w:t>
                  </w:r>
                </w:p>
              </w:txbxContent>
            </v:textbox>
          </v:shape>
        </w:pict>
      </w:r>
      <w:r>
        <w:rPr>
          <w:rFonts w:cs="Arial"/>
          <w:noProof/>
          <w:szCs w:val="22"/>
        </w:rPr>
        <w:pict>
          <v:shape id="_x0000_s1027" type="#_x0000_t202" style="position:absolute;left:0;text-align:left;margin-left:245.25pt;margin-top:10.75pt;width:129pt;height:47.6pt;z-index:251661312;mso-width-relative:margin;mso-height-relative:margin">
            <v:textbox style="mso-next-textbox:#_x0000_s1027">
              <w:txbxContent>
                <w:p w:rsidR="00CA2326" w:rsidRPr="00006981" w:rsidRDefault="00CA2326" w:rsidP="00CA2326">
                  <w:pPr>
                    <w:jc w:val="center"/>
                    <w:rPr>
                      <w:rFonts w:ascii="Calibri" w:hAnsi="Calibri"/>
                      <w:szCs w:val="22"/>
                    </w:rPr>
                  </w:pPr>
                  <w:r w:rsidRPr="00006981">
                    <w:rPr>
                      <w:rFonts w:ascii="Calibri" w:hAnsi="Calibri"/>
                      <w:szCs w:val="22"/>
                    </w:rPr>
                    <w:t>Determine Consistency</w:t>
                  </w:r>
                </w:p>
                <w:p w:rsidR="00CA2326" w:rsidRPr="00006981" w:rsidRDefault="00CA2326" w:rsidP="00CA2326">
                  <w:pPr>
                    <w:jc w:val="center"/>
                    <w:rPr>
                      <w:rFonts w:ascii="Calibri" w:hAnsi="Calibri"/>
                      <w:szCs w:val="22"/>
                    </w:rPr>
                  </w:pPr>
                  <w:r w:rsidRPr="00006981">
                    <w:rPr>
                      <w:rFonts w:ascii="Calibri" w:hAnsi="Calibri"/>
                      <w:szCs w:val="22"/>
                    </w:rPr>
                    <w:t>with the EP</w:t>
                  </w:r>
                </w:p>
              </w:txbxContent>
            </v:textbox>
          </v:shape>
        </w:pict>
      </w:r>
      <w:r>
        <w:rPr>
          <w:rFonts w:cs="Arial"/>
          <w:noProof/>
          <w:szCs w:val="22"/>
          <w:lang w:eastAsia="zh-TW"/>
        </w:rPr>
        <w:pict>
          <v:shape id="_x0000_s1026" type="#_x0000_t202" style="position:absolute;left:0;text-align:left;margin-left:70.5pt;margin-top:10.75pt;width:129.75pt;height:47.6pt;z-index:251660288;mso-width-relative:margin;mso-height-relative:margin">
            <v:textbox style="mso-next-textbox:#_x0000_s1026">
              <w:txbxContent>
                <w:p w:rsidR="00CA2326" w:rsidRPr="00CE2F78" w:rsidRDefault="00CA2326" w:rsidP="00CA2326">
                  <w:pPr>
                    <w:jc w:val="center"/>
                    <w:rPr>
                      <w:rFonts w:cs="Arial"/>
                      <w:szCs w:val="22"/>
                    </w:rPr>
                  </w:pPr>
                  <w:r w:rsidRPr="00CE2F78">
                    <w:rPr>
                      <w:rFonts w:cs="Arial"/>
                      <w:szCs w:val="22"/>
                    </w:rPr>
                    <w:t>Examine the IFI’s</w:t>
                  </w:r>
                </w:p>
                <w:p w:rsidR="00CA2326" w:rsidRPr="00CE2F78" w:rsidRDefault="00CA2326" w:rsidP="00CA2326">
                  <w:pPr>
                    <w:jc w:val="center"/>
                    <w:rPr>
                      <w:rFonts w:cs="Arial"/>
                      <w:szCs w:val="22"/>
                    </w:rPr>
                  </w:pPr>
                  <w:r w:rsidRPr="00CE2F78">
                    <w:rPr>
                      <w:rFonts w:cs="Arial"/>
                      <w:szCs w:val="22"/>
                    </w:rPr>
                    <w:t>Operational Practices</w:t>
                  </w:r>
                </w:p>
                <w:p w:rsidR="00CA2326" w:rsidRPr="00CE2F78" w:rsidRDefault="00CA2326" w:rsidP="00CA2326">
                  <w:pPr>
                    <w:jc w:val="center"/>
                    <w:rPr>
                      <w:rFonts w:cs="Arial"/>
                      <w:szCs w:val="22"/>
                    </w:rPr>
                  </w:pPr>
                  <w:r w:rsidRPr="00CE2F78">
                    <w:rPr>
                      <w:rFonts w:cs="Arial"/>
                      <w:szCs w:val="22"/>
                    </w:rPr>
                    <w:t>under each EP</w:t>
                  </w:r>
                </w:p>
              </w:txbxContent>
            </v:textbox>
          </v:shape>
        </w:pict>
      </w:r>
    </w:p>
    <w:p w:rsidR="00CA2326" w:rsidRPr="00685B6D" w:rsidRDefault="00CA2326" w:rsidP="00CA2326">
      <w:pPr>
        <w:rPr>
          <w:rFonts w:cs="Arial"/>
          <w:szCs w:val="22"/>
        </w:rPr>
      </w:pPr>
    </w:p>
    <w:p w:rsidR="00CA2326" w:rsidRPr="00685B6D" w:rsidRDefault="00570D98" w:rsidP="00CA2326">
      <w:pPr>
        <w:rPr>
          <w:rFonts w:cs="Arial"/>
          <w:szCs w:val="22"/>
        </w:rPr>
      </w:pPr>
      <w:r>
        <w:rPr>
          <w:rFonts w:cs="Arial"/>
          <w:noProof/>
          <w:szCs w:val="22"/>
        </w:rPr>
        <w:pict>
          <v:shapetype id="_x0000_t32" coordsize="21600,21600" o:spt="32" o:oned="t" path="m,l21600,21600e" filled="f">
            <v:path arrowok="t" fillok="f" o:connecttype="none"/>
            <o:lock v:ext="edit" shapetype="t"/>
          </v:shapetype>
          <v:shape id="_x0000_s1028" type="#_x0000_t32" style="position:absolute;left:0;text-align:left;margin-left:213.75pt;margin-top:3.5pt;width:15.75pt;height:0;z-index:251662336" o:connectortype="straight">
            <v:stroke endarrow="block"/>
          </v:shape>
        </w:pict>
      </w:r>
    </w:p>
    <w:p w:rsidR="00CA2326" w:rsidRPr="00685B6D" w:rsidRDefault="00CA2326" w:rsidP="00CA2326">
      <w:pPr>
        <w:rPr>
          <w:rFonts w:cs="Arial"/>
          <w:szCs w:val="22"/>
        </w:rPr>
      </w:pPr>
    </w:p>
    <w:p w:rsidR="00CA2326" w:rsidRPr="00685B6D" w:rsidRDefault="00CA2326" w:rsidP="00CA2326">
      <w:pPr>
        <w:rPr>
          <w:rFonts w:cs="Arial"/>
          <w:szCs w:val="22"/>
        </w:rPr>
      </w:pPr>
    </w:p>
    <w:p w:rsidR="00CA2326" w:rsidRPr="00685B6D" w:rsidRDefault="00570D98" w:rsidP="00CA2326">
      <w:pPr>
        <w:pStyle w:val="KHHeading2"/>
        <w:rPr>
          <w:rFonts w:ascii="Arial" w:hAnsi="Arial" w:cs="Arial"/>
          <w:sz w:val="22"/>
        </w:rPr>
      </w:pPr>
      <w:r>
        <w:rPr>
          <w:rFonts w:ascii="Arial" w:hAnsi="Arial" w:cs="Arial"/>
          <w:noProof/>
          <w:sz w:val="22"/>
        </w:rPr>
        <w:pict>
          <v:shape id="_x0000_s1030" type="#_x0000_t202" style="position:absolute;margin-left:63.75pt;margin-top:.6pt;width:146.25pt;height:80.6pt;z-index:251664384;mso-width-relative:margin;mso-height-relative:margin" stroked="f">
            <v:textbox style="mso-next-textbox:#_x0000_s1030">
              <w:txbxContent>
                <w:p w:rsidR="00CA2326" w:rsidRPr="00CE2F78" w:rsidRDefault="00CA2326" w:rsidP="00CA2326">
                  <w:pPr>
                    <w:spacing w:after="120"/>
                    <w:jc w:val="center"/>
                    <w:rPr>
                      <w:rFonts w:cs="Arial"/>
                      <w:szCs w:val="22"/>
                    </w:rPr>
                  </w:pPr>
                  <w:r w:rsidRPr="00CE2F78">
                    <w:rPr>
                      <w:rFonts w:cs="Arial"/>
                      <w:szCs w:val="22"/>
                    </w:rPr>
                    <w:t>OPs listed under each EP:</w:t>
                  </w:r>
                </w:p>
                <w:p w:rsidR="00CA2326" w:rsidRPr="00CE2F78" w:rsidRDefault="00CA2326" w:rsidP="00CA2326">
                  <w:pPr>
                    <w:jc w:val="center"/>
                    <w:rPr>
                      <w:rFonts w:cs="Arial"/>
                      <w:szCs w:val="22"/>
                    </w:rPr>
                  </w:pPr>
                  <w:r w:rsidRPr="00CE2F78">
                    <w:rPr>
                      <w:rFonts w:cs="Arial"/>
                      <w:szCs w:val="22"/>
                    </w:rPr>
                    <w:t>Fully Implemented</w:t>
                  </w:r>
                </w:p>
                <w:p w:rsidR="00CA2326" w:rsidRPr="00CE2F78" w:rsidRDefault="00CA2326" w:rsidP="00CA2326">
                  <w:pPr>
                    <w:jc w:val="center"/>
                    <w:rPr>
                      <w:rFonts w:cs="Arial"/>
                      <w:szCs w:val="22"/>
                    </w:rPr>
                  </w:pPr>
                  <w:r w:rsidRPr="00CE2F78">
                    <w:rPr>
                      <w:rFonts w:cs="Arial"/>
                      <w:szCs w:val="22"/>
                    </w:rPr>
                    <w:t>Partially Implemented</w:t>
                  </w:r>
                </w:p>
                <w:p w:rsidR="00CA2326" w:rsidRPr="00CE2F78" w:rsidRDefault="00CA2326" w:rsidP="00CA2326">
                  <w:pPr>
                    <w:jc w:val="center"/>
                    <w:rPr>
                      <w:rFonts w:cs="Arial"/>
                      <w:sz w:val="20"/>
                      <w:szCs w:val="20"/>
                    </w:rPr>
                  </w:pPr>
                  <w:r w:rsidRPr="00CE2F78">
                    <w:rPr>
                      <w:rFonts w:cs="Arial"/>
                      <w:szCs w:val="22"/>
                    </w:rPr>
                    <w:t>Not Implemented</w:t>
                  </w:r>
                </w:p>
                <w:p w:rsidR="00CA2326" w:rsidRPr="00CE2F78" w:rsidRDefault="00CA2326" w:rsidP="00CA2326">
                  <w:pPr>
                    <w:jc w:val="center"/>
                    <w:rPr>
                      <w:rFonts w:cs="Arial"/>
                      <w:sz w:val="20"/>
                      <w:szCs w:val="20"/>
                    </w:rPr>
                  </w:pPr>
                </w:p>
                <w:p w:rsidR="00CA2326" w:rsidRPr="00CE2F78" w:rsidRDefault="00CA2326" w:rsidP="00CA2326">
                  <w:pPr>
                    <w:jc w:val="center"/>
                    <w:rPr>
                      <w:rFonts w:cs="Arial"/>
                      <w:sz w:val="20"/>
                      <w:szCs w:val="20"/>
                    </w:rPr>
                  </w:pPr>
                </w:p>
              </w:txbxContent>
            </v:textbox>
          </v:shape>
        </w:pict>
      </w:r>
      <w:r>
        <w:rPr>
          <w:rFonts w:ascii="Arial" w:hAnsi="Arial" w:cs="Arial"/>
          <w:noProof/>
          <w:sz w:val="22"/>
        </w:rPr>
        <w:pict>
          <v:shape id="_x0000_s1029" type="#_x0000_t202" style="position:absolute;margin-left:251.25pt;margin-top:.6pt;width:116.25pt;height:80.6pt;z-index:251663360;mso-width-relative:margin;mso-height-relative:margin" stroked="f">
            <v:textbox style="mso-next-textbox:#_x0000_s1029">
              <w:txbxContent>
                <w:p w:rsidR="00CA2326" w:rsidRPr="00CE2F78" w:rsidRDefault="00CA2326" w:rsidP="00CA2326">
                  <w:pPr>
                    <w:spacing w:after="120"/>
                    <w:jc w:val="center"/>
                    <w:rPr>
                      <w:rFonts w:cs="Arial"/>
                      <w:szCs w:val="22"/>
                    </w:rPr>
                  </w:pPr>
                  <w:r w:rsidRPr="00CE2F78">
                    <w:rPr>
                      <w:rFonts w:cs="Arial"/>
                      <w:szCs w:val="22"/>
                    </w:rPr>
                    <w:t>Score each EP:</w:t>
                  </w:r>
                </w:p>
                <w:p w:rsidR="00CA2326" w:rsidRPr="00CE2F78" w:rsidRDefault="00CA2326" w:rsidP="00CA2326">
                  <w:pPr>
                    <w:jc w:val="center"/>
                    <w:rPr>
                      <w:rFonts w:cs="Arial"/>
                      <w:szCs w:val="22"/>
                    </w:rPr>
                  </w:pPr>
                  <w:r w:rsidRPr="00CE2F78">
                    <w:rPr>
                      <w:rFonts w:cs="Arial"/>
                      <w:szCs w:val="22"/>
                    </w:rPr>
                    <w:t>Fully Consistent</w:t>
                  </w:r>
                </w:p>
                <w:p w:rsidR="00CA2326" w:rsidRPr="00CE2F78" w:rsidRDefault="00CA2326" w:rsidP="00CA2326">
                  <w:pPr>
                    <w:jc w:val="center"/>
                    <w:rPr>
                      <w:rFonts w:cs="Arial"/>
                      <w:szCs w:val="22"/>
                    </w:rPr>
                  </w:pPr>
                  <w:r w:rsidRPr="00CE2F78">
                    <w:rPr>
                      <w:rFonts w:cs="Arial"/>
                      <w:szCs w:val="22"/>
                    </w:rPr>
                    <w:t xml:space="preserve">Partially Consistent </w:t>
                  </w:r>
                </w:p>
                <w:p w:rsidR="00CA2326" w:rsidRPr="00CE2F78" w:rsidRDefault="00CA2326" w:rsidP="00CA2326">
                  <w:pPr>
                    <w:jc w:val="center"/>
                    <w:rPr>
                      <w:rFonts w:cs="Arial"/>
                      <w:szCs w:val="22"/>
                    </w:rPr>
                  </w:pPr>
                  <w:r w:rsidRPr="00CE2F78">
                    <w:rPr>
                      <w:rFonts w:cs="Arial"/>
                      <w:szCs w:val="22"/>
                    </w:rPr>
                    <w:t xml:space="preserve">Not Consistent </w:t>
                  </w:r>
                </w:p>
              </w:txbxContent>
            </v:textbox>
          </v:shape>
        </w:pict>
      </w:r>
    </w:p>
    <w:p w:rsidR="00CA2326" w:rsidRPr="00685B6D" w:rsidRDefault="00CA2326" w:rsidP="00CA2326">
      <w:pPr>
        <w:rPr>
          <w:rFonts w:cs="Arial"/>
          <w:szCs w:val="22"/>
        </w:rPr>
      </w:pPr>
    </w:p>
    <w:p w:rsidR="00CA2326" w:rsidRPr="00685B6D" w:rsidRDefault="00CA2326" w:rsidP="00CA2326">
      <w:pPr>
        <w:rPr>
          <w:rFonts w:cs="Arial"/>
          <w:szCs w:val="22"/>
        </w:rPr>
      </w:pPr>
    </w:p>
    <w:p w:rsidR="00CA2326" w:rsidRPr="00685B6D" w:rsidRDefault="00CA2326" w:rsidP="00CA2326">
      <w:pPr>
        <w:pStyle w:val="ListParagraph"/>
        <w:ind w:left="0"/>
        <w:rPr>
          <w:rFonts w:cs="Arial"/>
          <w:szCs w:val="22"/>
        </w:rPr>
      </w:pPr>
    </w:p>
    <w:p w:rsidR="009B3431" w:rsidRPr="00CA2326" w:rsidRDefault="009B3431">
      <w:pPr>
        <w:rPr>
          <w:rFonts w:cs="Arial"/>
          <w:b/>
          <w:szCs w:val="22"/>
        </w:rPr>
      </w:pPr>
    </w:p>
    <w:sectPr w:rsidR="009B3431" w:rsidRPr="00CA2326" w:rsidSect="009B34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E66"/>
    <w:multiLevelType w:val="multilevel"/>
    <w:tmpl w:val="D11EF524"/>
    <w:lvl w:ilvl="0">
      <w:start w:val="1"/>
      <w:numFmt w:val="decimal"/>
      <w:lvlText w:val="%1."/>
      <w:lvlJc w:val="left"/>
      <w:pPr>
        <w:ind w:left="0" w:hanging="576"/>
      </w:pPr>
      <w:rPr>
        <w:rFonts w:hint="default"/>
      </w:rPr>
    </w:lvl>
    <w:lvl w:ilvl="1">
      <w:start w:val="1"/>
      <w:numFmt w:val="lowerLetter"/>
      <w:lvlText w:val="%2)"/>
      <w:lvlJc w:val="left"/>
      <w:pPr>
        <w:ind w:left="0" w:hanging="576"/>
      </w:pPr>
      <w:rPr>
        <w:rFonts w:hint="default"/>
      </w:rPr>
    </w:lvl>
    <w:lvl w:ilvl="2">
      <w:start w:val="1"/>
      <w:numFmt w:val="lowerRoman"/>
      <w:lvlText w:val="%3)"/>
      <w:lvlJc w:val="left"/>
      <w:pPr>
        <w:ind w:left="0" w:hanging="576"/>
      </w:pPr>
      <w:rPr>
        <w:rFonts w:hint="default"/>
      </w:rPr>
    </w:lvl>
    <w:lvl w:ilvl="3">
      <w:start w:val="1"/>
      <w:numFmt w:val="decimal"/>
      <w:lvlText w:val="(%4)"/>
      <w:lvlJc w:val="left"/>
      <w:pPr>
        <w:ind w:left="0" w:hanging="576"/>
      </w:pPr>
      <w:rPr>
        <w:rFonts w:hint="default"/>
      </w:rPr>
    </w:lvl>
    <w:lvl w:ilvl="4">
      <w:start w:val="1"/>
      <w:numFmt w:val="lowerLetter"/>
      <w:lvlText w:val="(%5)"/>
      <w:lvlJc w:val="left"/>
      <w:pPr>
        <w:ind w:left="0" w:hanging="576"/>
      </w:pPr>
      <w:rPr>
        <w:rFonts w:hint="default"/>
      </w:rPr>
    </w:lvl>
    <w:lvl w:ilvl="5">
      <w:start w:val="1"/>
      <w:numFmt w:val="lowerRoman"/>
      <w:lvlText w:val="(%6)"/>
      <w:lvlJc w:val="left"/>
      <w:pPr>
        <w:ind w:left="0" w:hanging="576"/>
      </w:pPr>
      <w:rPr>
        <w:rFonts w:hint="default"/>
      </w:rPr>
    </w:lvl>
    <w:lvl w:ilvl="6">
      <w:start w:val="1"/>
      <w:numFmt w:val="decimal"/>
      <w:lvlText w:val="%7."/>
      <w:lvlJc w:val="left"/>
      <w:pPr>
        <w:ind w:left="0" w:hanging="576"/>
      </w:pPr>
      <w:rPr>
        <w:rFonts w:hint="default"/>
      </w:rPr>
    </w:lvl>
    <w:lvl w:ilvl="7">
      <w:start w:val="1"/>
      <w:numFmt w:val="lowerLetter"/>
      <w:lvlText w:val="%8."/>
      <w:lvlJc w:val="left"/>
      <w:pPr>
        <w:ind w:left="0" w:hanging="576"/>
      </w:pPr>
      <w:rPr>
        <w:rFonts w:hint="default"/>
      </w:rPr>
    </w:lvl>
    <w:lvl w:ilvl="8">
      <w:start w:val="1"/>
      <w:numFmt w:val="lowerRoman"/>
      <w:lvlText w:val="%9."/>
      <w:lvlJc w:val="left"/>
      <w:pPr>
        <w:ind w:left="0" w:hanging="576"/>
      </w:pPr>
      <w:rPr>
        <w:rFonts w:hint="default"/>
      </w:rPr>
    </w:lvl>
  </w:abstractNum>
  <w:abstractNum w:abstractNumId="1">
    <w:nsid w:val="16A16342"/>
    <w:multiLevelType w:val="hybridMultilevel"/>
    <w:tmpl w:val="0C2E9682"/>
    <w:lvl w:ilvl="0" w:tplc="B0B6E4E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8B3094"/>
    <w:multiLevelType w:val="hybridMultilevel"/>
    <w:tmpl w:val="A55418FE"/>
    <w:lvl w:ilvl="0" w:tplc="B0B6E4EE">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A301D"/>
    <w:multiLevelType w:val="hybridMultilevel"/>
    <w:tmpl w:val="F168C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F21806"/>
    <w:multiLevelType w:val="hybridMultilevel"/>
    <w:tmpl w:val="92DCAB66"/>
    <w:lvl w:ilvl="0" w:tplc="B0B6E4E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674BD"/>
    <w:multiLevelType w:val="hybridMultilevel"/>
    <w:tmpl w:val="00A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B73C38"/>
    <w:multiLevelType w:val="hybridMultilevel"/>
    <w:tmpl w:val="C51EADD8"/>
    <w:lvl w:ilvl="0" w:tplc="B0B6E4E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2326"/>
    <w:rsid w:val="00035B03"/>
    <w:rsid w:val="000A772F"/>
    <w:rsid w:val="001C2184"/>
    <w:rsid w:val="00226272"/>
    <w:rsid w:val="00233E4B"/>
    <w:rsid w:val="00250485"/>
    <w:rsid w:val="00252E03"/>
    <w:rsid w:val="003430E9"/>
    <w:rsid w:val="0040305B"/>
    <w:rsid w:val="004513F5"/>
    <w:rsid w:val="00490A9A"/>
    <w:rsid w:val="004D6D6F"/>
    <w:rsid w:val="00570D98"/>
    <w:rsid w:val="007B4D47"/>
    <w:rsid w:val="007E207F"/>
    <w:rsid w:val="008151F6"/>
    <w:rsid w:val="0088138B"/>
    <w:rsid w:val="009B3431"/>
    <w:rsid w:val="00AA0E25"/>
    <w:rsid w:val="00AA25B2"/>
    <w:rsid w:val="00C171FE"/>
    <w:rsid w:val="00C67E1F"/>
    <w:rsid w:val="00CA2326"/>
    <w:rsid w:val="00E82A1E"/>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26"/>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26"/>
    <w:pPr>
      <w:ind w:left="720"/>
    </w:pPr>
  </w:style>
  <w:style w:type="paragraph" w:customStyle="1" w:styleId="KHHeading2">
    <w:name w:val="KH Heading 2"/>
    <w:basedOn w:val="Normal"/>
    <w:qFormat/>
    <w:rsid w:val="00CA2326"/>
    <w:pPr>
      <w:widowControl/>
      <w:jc w:val="left"/>
    </w:pPr>
    <w:rPr>
      <w:rFonts w:ascii="Calibri" w:eastAsia="Times New Roman" w:hAnsi="Calibri"/>
      <w:b/>
      <w:kern w:val="0"/>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1932</Characters>
  <Application>Microsoft Office Word</Application>
  <DocSecurity>0</DocSecurity>
  <Lines>16</Lines>
  <Paragraphs>4</Paragraphs>
  <ScaleCrop>false</ScaleCrop>
  <Company>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2</cp:revision>
  <dcterms:created xsi:type="dcterms:W3CDTF">2013-06-25T09:39:00Z</dcterms:created>
  <dcterms:modified xsi:type="dcterms:W3CDTF">2013-06-25T09:43:00Z</dcterms:modified>
</cp:coreProperties>
</file>