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90F" w:rsidRPr="0016796F" w:rsidRDefault="0049090F" w:rsidP="0003306B">
      <w:pPr>
        <w:jc w:val="left"/>
        <w:rPr>
          <w:b/>
        </w:rPr>
      </w:pPr>
      <w:r w:rsidRPr="0016796F">
        <w:rPr>
          <w:b/>
        </w:rPr>
        <w:t>Annex IV.4: Comparative Names of CED in IFIs and Reports on Indirect and Direct Evaluation</w:t>
      </w:r>
      <w:r w:rsidRPr="0016796F">
        <w:rPr>
          <w:rStyle w:val="FootnoteReference"/>
          <w:b/>
          <w:vertAlign w:val="baseline"/>
        </w:rPr>
        <w:footnoteReference w:id="1"/>
      </w:r>
      <w:r w:rsidRPr="0016796F">
        <w:rPr>
          <w:b/>
        </w:rPr>
        <w:t xml:space="preserve"> of Private Sector Operations </w:t>
      </w:r>
    </w:p>
    <w:p w:rsidR="0049090F" w:rsidRPr="0016796F" w:rsidRDefault="0049090F" w:rsidP="0049090F">
      <w:pPr>
        <w:pStyle w:val="MainHead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98"/>
        <w:gridCol w:w="8"/>
        <w:gridCol w:w="1906"/>
        <w:gridCol w:w="1906"/>
        <w:gridCol w:w="1906"/>
        <w:gridCol w:w="1906"/>
      </w:tblGrid>
      <w:tr w:rsidR="0049090F" w:rsidRPr="0016796F" w:rsidTr="0016796F">
        <w:tc>
          <w:tcPr>
            <w:tcW w:w="2616" w:type="dxa"/>
            <w:tcBorders>
              <w:top w:val="nil"/>
              <w:left w:val="nil"/>
              <w:bottom w:val="nil"/>
              <w:right w:val="single" w:sz="4" w:space="0" w:color="auto"/>
            </w:tcBorders>
            <w:shd w:val="clear" w:color="auto" w:fill="auto"/>
            <w:vAlign w:val="center"/>
          </w:tcPr>
          <w:p w:rsidR="0049090F" w:rsidRPr="0016796F" w:rsidRDefault="0049090F" w:rsidP="00CB1225">
            <w:pPr>
              <w:keepLines/>
              <w:tabs>
                <w:tab w:val="right" w:pos="14034"/>
              </w:tabs>
              <w:suppressAutoHyphens/>
              <w:spacing w:before="60" w:after="60" w:line="264" w:lineRule="auto"/>
              <w:jc w:val="left"/>
              <w:rPr>
                <w:rFonts w:cs="Arial"/>
                <w:sz w:val="18"/>
                <w:szCs w:val="18"/>
              </w:rPr>
            </w:pPr>
          </w:p>
        </w:tc>
        <w:tc>
          <w:tcPr>
            <w:tcW w:w="10514" w:type="dxa"/>
            <w:gridSpan w:val="5"/>
            <w:tcBorders>
              <w:left w:val="single" w:sz="4" w:space="0" w:color="auto"/>
              <w:bottom w:val="nil"/>
            </w:tcBorders>
            <w:shd w:val="clear" w:color="auto" w:fill="auto"/>
            <w:vAlign w:val="center"/>
          </w:tcPr>
          <w:p w:rsidR="0049090F" w:rsidRPr="0016796F" w:rsidRDefault="0049090F" w:rsidP="00CB1225">
            <w:pPr>
              <w:spacing w:before="60" w:after="60"/>
              <w:jc w:val="center"/>
              <w:rPr>
                <w:rFonts w:cs="Arial"/>
                <w:b/>
                <w:sz w:val="18"/>
                <w:szCs w:val="18"/>
              </w:rPr>
            </w:pPr>
            <w:r w:rsidRPr="0016796F">
              <w:rPr>
                <w:rFonts w:cs="Arial"/>
                <w:b/>
                <w:sz w:val="18"/>
                <w:szCs w:val="18"/>
              </w:rPr>
              <w:t>Terms Used in GPS Document and their equivalent in each IFI</w:t>
            </w:r>
          </w:p>
        </w:tc>
      </w:tr>
      <w:tr w:rsidR="0049090F" w:rsidRPr="0016796F" w:rsidTr="0016796F">
        <w:tc>
          <w:tcPr>
            <w:tcW w:w="2626" w:type="dxa"/>
            <w:gridSpan w:val="2"/>
            <w:tcBorders>
              <w:top w:val="nil"/>
              <w:left w:val="nil"/>
              <w:bottom w:val="single" w:sz="4" w:space="0" w:color="auto"/>
              <w:right w:val="single" w:sz="4" w:space="0" w:color="auto"/>
            </w:tcBorders>
            <w:shd w:val="clear" w:color="auto" w:fill="auto"/>
            <w:vAlign w:val="center"/>
          </w:tcPr>
          <w:p w:rsidR="0049090F" w:rsidRPr="0016796F" w:rsidRDefault="0049090F" w:rsidP="00CB1225">
            <w:pPr>
              <w:spacing w:before="60" w:after="60"/>
              <w:jc w:val="left"/>
              <w:rPr>
                <w:rFonts w:cs="Arial"/>
                <w:b/>
                <w:sz w:val="18"/>
                <w:szCs w:val="18"/>
              </w:rPr>
            </w:pPr>
          </w:p>
        </w:tc>
        <w:tc>
          <w:tcPr>
            <w:tcW w:w="2626" w:type="dxa"/>
            <w:tcBorders>
              <w:top w:val="nil"/>
              <w:left w:val="single" w:sz="4" w:space="0" w:color="auto"/>
              <w:right w:val="nil"/>
            </w:tcBorders>
            <w:shd w:val="clear" w:color="auto" w:fill="auto"/>
            <w:vAlign w:val="center"/>
          </w:tcPr>
          <w:p w:rsidR="0049090F" w:rsidRPr="0016796F" w:rsidRDefault="0049090F" w:rsidP="00CB1225">
            <w:pPr>
              <w:spacing w:before="60" w:after="60"/>
              <w:jc w:val="center"/>
              <w:rPr>
                <w:rFonts w:cs="Arial"/>
                <w:b/>
                <w:sz w:val="18"/>
                <w:szCs w:val="18"/>
              </w:rPr>
            </w:pPr>
            <w:r w:rsidRPr="0016796F">
              <w:rPr>
                <w:rFonts w:cs="Arial"/>
                <w:b/>
                <w:sz w:val="18"/>
                <w:szCs w:val="18"/>
              </w:rPr>
              <w:t>Central Evaluation Department (CED)</w:t>
            </w:r>
          </w:p>
        </w:tc>
        <w:tc>
          <w:tcPr>
            <w:tcW w:w="2626" w:type="dxa"/>
            <w:tcBorders>
              <w:top w:val="nil"/>
              <w:left w:val="nil"/>
              <w:right w:val="nil"/>
            </w:tcBorders>
            <w:shd w:val="clear" w:color="auto" w:fill="auto"/>
            <w:vAlign w:val="center"/>
          </w:tcPr>
          <w:p w:rsidR="0049090F" w:rsidRPr="0016796F" w:rsidRDefault="0049090F" w:rsidP="00CB1225">
            <w:pPr>
              <w:spacing w:before="60" w:after="60"/>
              <w:jc w:val="center"/>
              <w:rPr>
                <w:rFonts w:cs="Arial"/>
                <w:b/>
                <w:sz w:val="18"/>
                <w:szCs w:val="18"/>
              </w:rPr>
            </w:pPr>
            <w:r w:rsidRPr="0016796F">
              <w:rPr>
                <w:rFonts w:cs="Arial"/>
                <w:b/>
                <w:sz w:val="18"/>
                <w:szCs w:val="18"/>
              </w:rPr>
              <w:t>Expanded Annual Supervision Report (XASR)</w:t>
            </w:r>
          </w:p>
        </w:tc>
        <w:tc>
          <w:tcPr>
            <w:tcW w:w="2626" w:type="dxa"/>
            <w:tcBorders>
              <w:top w:val="nil"/>
              <w:left w:val="nil"/>
              <w:right w:val="nil"/>
            </w:tcBorders>
            <w:shd w:val="clear" w:color="auto" w:fill="auto"/>
            <w:vAlign w:val="center"/>
          </w:tcPr>
          <w:p w:rsidR="0049090F" w:rsidRPr="0016796F" w:rsidRDefault="0049090F" w:rsidP="00CB1225">
            <w:pPr>
              <w:spacing w:before="60" w:after="60"/>
              <w:jc w:val="center"/>
              <w:rPr>
                <w:rFonts w:cs="Arial"/>
                <w:b/>
                <w:sz w:val="18"/>
                <w:szCs w:val="18"/>
              </w:rPr>
            </w:pPr>
            <w:r w:rsidRPr="0016796F">
              <w:rPr>
                <w:rFonts w:cs="Arial"/>
                <w:b/>
                <w:sz w:val="18"/>
                <w:szCs w:val="18"/>
              </w:rPr>
              <w:t>XASR Assessment</w:t>
            </w:r>
          </w:p>
        </w:tc>
        <w:tc>
          <w:tcPr>
            <w:tcW w:w="2626" w:type="dxa"/>
            <w:tcBorders>
              <w:top w:val="nil"/>
              <w:left w:val="nil"/>
              <w:right w:val="single" w:sz="4" w:space="0" w:color="auto"/>
            </w:tcBorders>
            <w:shd w:val="clear" w:color="auto" w:fill="auto"/>
            <w:vAlign w:val="center"/>
          </w:tcPr>
          <w:p w:rsidR="0049090F" w:rsidRPr="0016796F" w:rsidRDefault="0049090F" w:rsidP="00CB1225">
            <w:pPr>
              <w:spacing w:before="60" w:after="60"/>
              <w:jc w:val="center"/>
              <w:rPr>
                <w:rFonts w:cs="Arial"/>
                <w:b/>
                <w:sz w:val="18"/>
                <w:szCs w:val="18"/>
              </w:rPr>
            </w:pPr>
            <w:r w:rsidRPr="0016796F">
              <w:rPr>
                <w:rFonts w:cs="Arial"/>
                <w:b/>
                <w:sz w:val="18"/>
                <w:szCs w:val="18"/>
              </w:rPr>
              <w:t>Performance Evaluation Report (PER)</w:t>
            </w:r>
          </w:p>
        </w:tc>
      </w:tr>
      <w:tr w:rsidR="0049090F" w:rsidRPr="0016796F" w:rsidTr="0016796F">
        <w:tc>
          <w:tcPr>
            <w:tcW w:w="2626" w:type="dxa"/>
            <w:gridSpan w:val="2"/>
            <w:tcBorders>
              <w:top w:val="single" w:sz="4" w:space="0" w:color="auto"/>
            </w:tcBorders>
            <w:shd w:val="clear" w:color="auto" w:fill="auto"/>
            <w:vAlign w:val="center"/>
          </w:tcPr>
          <w:p w:rsidR="0049090F" w:rsidRPr="0016796F" w:rsidRDefault="0049090F" w:rsidP="00CB1225">
            <w:pPr>
              <w:spacing w:before="60" w:after="60"/>
              <w:jc w:val="left"/>
              <w:rPr>
                <w:rFonts w:cs="Arial"/>
                <w:sz w:val="16"/>
                <w:szCs w:val="16"/>
              </w:rPr>
            </w:pPr>
            <w:r w:rsidRPr="0016796F">
              <w:rPr>
                <w:rFonts w:cs="Arial"/>
                <w:sz w:val="16"/>
                <w:szCs w:val="16"/>
              </w:rPr>
              <w:t>African Development Bank (</w:t>
            </w:r>
            <w:proofErr w:type="spellStart"/>
            <w:r w:rsidRPr="0016796F">
              <w:rPr>
                <w:rFonts w:cs="Arial"/>
                <w:sz w:val="16"/>
                <w:szCs w:val="16"/>
              </w:rPr>
              <w:t>AfDB</w:t>
            </w:r>
            <w:proofErr w:type="spellEnd"/>
            <w:r w:rsidRPr="0016796F">
              <w:rPr>
                <w:rFonts w:cs="Arial"/>
                <w:sz w:val="16"/>
                <w:szCs w:val="16"/>
              </w:rPr>
              <w:t>)</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Operations Evaluation Department (OPEV)</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Expanded Supervision Report (XSR)</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XSR Review Note</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Project Performance Evaluation Report (PPER)</w:t>
            </w:r>
          </w:p>
        </w:tc>
      </w:tr>
      <w:tr w:rsidR="0049090F" w:rsidRPr="0016796F" w:rsidTr="0016796F">
        <w:tc>
          <w:tcPr>
            <w:tcW w:w="2626" w:type="dxa"/>
            <w:gridSpan w:val="2"/>
            <w:shd w:val="clear" w:color="auto" w:fill="auto"/>
            <w:vAlign w:val="center"/>
          </w:tcPr>
          <w:p w:rsidR="0049090F" w:rsidRPr="0016796F" w:rsidRDefault="0049090F" w:rsidP="00CB1225">
            <w:pPr>
              <w:spacing w:before="60" w:after="60"/>
              <w:jc w:val="left"/>
              <w:rPr>
                <w:rFonts w:cs="Arial"/>
                <w:sz w:val="16"/>
                <w:szCs w:val="16"/>
              </w:rPr>
            </w:pPr>
            <w:r w:rsidRPr="0016796F">
              <w:rPr>
                <w:rFonts w:cs="Arial"/>
                <w:sz w:val="16"/>
                <w:szCs w:val="16"/>
              </w:rPr>
              <w:t>Asian Development Bank (</w:t>
            </w:r>
            <w:proofErr w:type="spellStart"/>
            <w:r w:rsidRPr="0016796F">
              <w:rPr>
                <w:rFonts w:cs="Arial"/>
                <w:sz w:val="16"/>
                <w:szCs w:val="16"/>
              </w:rPr>
              <w:t>AsDB</w:t>
            </w:r>
            <w:proofErr w:type="spellEnd"/>
            <w:r w:rsidRPr="0016796F">
              <w:rPr>
                <w:rFonts w:cs="Arial"/>
                <w:sz w:val="16"/>
                <w:szCs w:val="16"/>
              </w:rPr>
              <w:t>)</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Independent Evaluation Department (IED)</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Extended Annual Review Report (XARR)</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XARR Validation Report</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Project Performance Evaluation Report (PPER)</w:t>
            </w:r>
          </w:p>
        </w:tc>
      </w:tr>
      <w:tr w:rsidR="0049090F" w:rsidRPr="0016796F" w:rsidTr="0016796F">
        <w:tc>
          <w:tcPr>
            <w:tcW w:w="2626" w:type="dxa"/>
            <w:gridSpan w:val="2"/>
            <w:shd w:val="clear" w:color="auto" w:fill="auto"/>
            <w:vAlign w:val="center"/>
          </w:tcPr>
          <w:p w:rsidR="0049090F" w:rsidRPr="0016796F" w:rsidRDefault="0049090F" w:rsidP="00CB1225">
            <w:pPr>
              <w:spacing w:before="60" w:after="60"/>
              <w:jc w:val="left"/>
              <w:rPr>
                <w:rFonts w:cs="Arial"/>
                <w:sz w:val="16"/>
                <w:szCs w:val="16"/>
              </w:rPr>
            </w:pPr>
            <w:r w:rsidRPr="0016796F">
              <w:rPr>
                <w:rFonts w:cs="Arial"/>
                <w:sz w:val="16"/>
                <w:szCs w:val="16"/>
              </w:rPr>
              <w:t>Council of Europe Development Bank (CEB)</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Ex-Post Evaluation Department</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Annual monitoring report on the preparation and follow up of projects</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Not Applicable</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Ex-Post Evaluation Report</w:t>
            </w:r>
          </w:p>
        </w:tc>
      </w:tr>
      <w:tr w:rsidR="0049090F" w:rsidRPr="0016796F" w:rsidTr="0016796F">
        <w:tc>
          <w:tcPr>
            <w:tcW w:w="2626" w:type="dxa"/>
            <w:gridSpan w:val="2"/>
            <w:shd w:val="clear" w:color="auto" w:fill="auto"/>
            <w:vAlign w:val="center"/>
          </w:tcPr>
          <w:p w:rsidR="0049090F" w:rsidRPr="0016796F" w:rsidRDefault="0049090F" w:rsidP="00CB1225">
            <w:pPr>
              <w:spacing w:before="60" w:after="60"/>
              <w:jc w:val="left"/>
              <w:rPr>
                <w:rFonts w:cs="Arial"/>
                <w:sz w:val="16"/>
                <w:szCs w:val="16"/>
              </w:rPr>
            </w:pPr>
            <w:r w:rsidRPr="0016796F">
              <w:rPr>
                <w:rFonts w:cs="Arial"/>
                <w:sz w:val="16"/>
                <w:szCs w:val="16"/>
              </w:rPr>
              <w:t>European Bank for Reconstruction and Development (EBRD)</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Evaluation Department (</w:t>
            </w:r>
            <w:proofErr w:type="spellStart"/>
            <w:r w:rsidRPr="0016796F">
              <w:rPr>
                <w:rFonts w:cs="Arial"/>
                <w:sz w:val="16"/>
                <w:szCs w:val="16"/>
              </w:rPr>
              <w:t>EvD</w:t>
            </w:r>
            <w:proofErr w:type="spellEnd"/>
            <w:r w:rsidRPr="0016796F">
              <w:rPr>
                <w:rFonts w:cs="Arial"/>
                <w:sz w:val="16"/>
                <w:szCs w:val="16"/>
              </w:rPr>
              <w:t>)</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Expanded Monitoring Report (XMR)</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XMR Assessment</w:t>
            </w:r>
            <w:r w:rsidRPr="0016796F">
              <w:rPr>
                <w:rFonts w:cs="Arial"/>
                <w:sz w:val="16"/>
                <w:szCs w:val="16"/>
              </w:rPr>
              <w:br/>
              <w:t>(XMRA)</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Operation Performance Evaluation Review (OPER)</w:t>
            </w:r>
          </w:p>
        </w:tc>
      </w:tr>
      <w:tr w:rsidR="0049090F" w:rsidRPr="0016796F" w:rsidTr="0016796F">
        <w:tc>
          <w:tcPr>
            <w:tcW w:w="2626" w:type="dxa"/>
            <w:gridSpan w:val="2"/>
            <w:shd w:val="clear" w:color="auto" w:fill="auto"/>
            <w:vAlign w:val="center"/>
          </w:tcPr>
          <w:p w:rsidR="0049090F" w:rsidRPr="0016796F" w:rsidRDefault="0049090F" w:rsidP="00CB1225">
            <w:pPr>
              <w:spacing w:before="60" w:after="60"/>
              <w:jc w:val="left"/>
              <w:rPr>
                <w:rFonts w:cs="Arial"/>
                <w:sz w:val="16"/>
                <w:szCs w:val="16"/>
              </w:rPr>
            </w:pPr>
            <w:r w:rsidRPr="0016796F">
              <w:rPr>
                <w:rFonts w:cs="Arial"/>
                <w:sz w:val="16"/>
                <w:szCs w:val="16"/>
              </w:rPr>
              <w:t>European Investment Bank (EIB)</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Operations Evaluation (EV)</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Project Progress Report (PPR) / Project Completion Report (PCR)</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Not Applicable</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Project Evaluation Report (PER)</w:t>
            </w:r>
          </w:p>
        </w:tc>
      </w:tr>
      <w:tr w:rsidR="0049090F" w:rsidRPr="0016796F" w:rsidTr="0016796F">
        <w:tc>
          <w:tcPr>
            <w:tcW w:w="2626" w:type="dxa"/>
            <w:gridSpan w:val="2"/>
            <w:shd w:val="clear" w:color="auto" w:fill="auto"/>
            <w:vAlign w:val="center"/>
          </w:tcPr>
          <w:p w:rsidR="0049090F" w:rsidRPr="0016796F" w:rsidRDefault="0049090F" w:rsidP="00CB1225">
            <w:pPr>
              <w:spacing w:before="60" w:after="60"/>
              <w:jc w:val="left"/>
              <w:rPr>
                <w:rFonts w:cs="Arial"/>
                <w:sz w:val="16"/>
                <w:szCs w:val="16"/>
              </w:rPr>
            </w:pPr>
            <w:r w:rsidRPr="0016796F">
              <w:rPr>
                <w:rFonts w:cs="Arial"/>
                <w:sz w:val="16"/>
                <w:szCs w:val="16"/>
              </w:rPr>
              <w:t>Global Environment Facility (GEF)</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Evaluation Office</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Not Applicable</w:t>
            </w:r>
            <w:r w:rsidRPr="0016796F">
              <w:rPr>
                <w:rFonts w:cs="Arial"/>
                <w:sz w:val="16"/>
                <w:szCs w:val="16"/>
              </w:rPr>
              <w:br/>
              <w:t>(undertaken by GEF agencies)</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Not Applicable</w:t>
            </w:r>
            <w:r w:rsidRPr="0016796F">
              <w:rPr>
                <w:rFonts w:cs="Arial"/>
                <w:sz w:val="16"/>
                <w:szCs w:val="16"/>
              </w:rPr>
              <w:br/>
              <w:t>(undertaken by GEF agencies)</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Annual Performance Report</w:t>
            </w:r>
          </w:p>
        </w:tc>
      </w:tr>
      <w:tr w:rsidR="0049090F" w:rsidRPr="0016796F" w:rsidTr="0016796F">
        <w:tc>
          <w:tcPr>
            <w:tcW w:w="2626" w:type="dxa"/>
            <w:gridSpan w:val="2"/>
            <w:shd w:val="clear" w:color="auto" w:fill="auto"/>
            <w:vAlign w:val="center"/>
          </w:tcPr>
          <w:p w:rsidR="0049090F" w:rsidRPr="0016796F" w:rsidRDefault="0049090F" w:rsidP="00CB1225">
            <w:pPr>
              <w:spacing w:before="60" w:after="60"/>
              <w:jc w:val="left"/>
              <w:rPr>
                <w:rFonts w:cs="Arial"/>
                <w:sz w:val="16"/>
                <w:szCs w:val="16"/>
              </w:rPr>
            </w:pPr>
            <w:r w:rsidRPr="0016796F">
              <w:rPr>
                <w:rFonts w:cs="Arial"/>
                <w:sz w:val="16"/>
                <w:szCs w:val="16"/>
              </w:rPr>
              <w:t>Inter-American Development Bank (</w:t>
            </w:r>
            <w:proofErr w:type="spellStart"/>
            <w:r w:rsidRPr="0016796F">
              <w:rPr>
                <w:rFonts w:cs="Arial"/>
                <w:sz w:val="16"/>
                <w:szCs w:val="16"/>
              </w:rPr>
              <w:t>IaDB</w:t>
            </w:r>
            <w:proofErr w:type="spellEnd"/>
            <w:r w:rsidRPr="0016796F">
              <w:rPr>
                <w:rFonts w:cs="Arial"/>
                <w:sz w:val="16"/>
                <w:szCs w:val="16"/>
              </w:rPr>
              <w:t>)</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Office of Evaluation and Oversight (OVE)</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Expanded Supervision Report (XPSR)</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XPSR Addendum (XPSR-A)</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Independent Evaluation Report of the Expanded Project Supervision Report Exercise</w:t>
            </w:r>
          </w:p>
        </w:tc>
      </w:tr>
      <w:tr w:rsidR="0049090F" w:rsidRPr="0016796F" w:rsidTr="0016796F">
        <w:tc>
          <w:tcPr>
            <w:tcW w:w="2626" w:type="dxa"/>
            <w:gridSpan w:val="2"/>
            <w:shd w:val="clear" w:color="auto" w:fill="auto"/>
            <w:vAlign w:val="center"/>
          </w:tcPr>
          <w:p w:rsidR="0049090F" w:rsidRPr="0016796F" w:rsidRDefault="0049090F" w:rsidP="00CB1225">
            <w:pPr>
              <w:spacing w:before="60" w:after="60"/>
              <w:jc w:val="left"/>
              <w:rPr>
                <w:rFonts w:cs="Arial"/>
                <w:sz w:val="16"/>
                <w:szCs w:val="16"/>
              </w:rPr>
            </w:pPr>
            <w:r w:rsidRPr="0016796F">
              <w:rPr>
                <w:rFonts w:cs="Arial"/>
                <w:sz w:val="16"/>
                <w:szCs w:val="16"/>
              </w:rPr>
              <w:t>Inter-American Investment Corporation (IIC)</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Office of Evaluation and Oversight (OVE)</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Expanded Annual Supervision Report (XASR)</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XASR Addendum (XASR-A)</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Annual Independent Evaluation Report to the IIC Board of Executive Directors</w:t>
            </w:r>
          </w:p>
        </w:tc>
      </w:tr>
      <w:tr w:rsidR="0049090F" w:rsidRPr="0016796F" w:rsidTr="0016796F">
        <w:tc>
          <w:tcPr>
            <w:tcW w:w="2626" w:type="dxa"/>
            <w:gridSpan w:val="2"/>
            <w:shd w:val="clear" w:color="auto" w:fill="auto"/>
            <w:vAlign w:val="center"/>
          </w:tcPr>
          <w:p w:rsidR="0049090F" w:rsidRPr="0016796F" w:rsidRDefault="0049090F" w:rsidP="00CB1225">
            <w:pPr>
              <w:spacing w:before="60" w:after="60"/>
              <w:jc w:val="left"/>
              <w:rPr>
                <w:rFonts w:cs="Arial"/>
                <w:sz w:val="16"/>
                <w:szCs w:val="16"/>
              </w:rPr>
            </w:pPr>
            <w:r w:rsidRPr="0016796F">
              <w:rPr>
                <w:rFonts w:cs="Arial"/>
                <w:sz w:val="16"/>
                <w:szCs w:val="16"/>
              </w:rPr>
              <w:t>International Finance Corporation (IFC)</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Independent Evaluation Group (IEG)</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Expanded Project Supervision Report (XPSR)</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XPSR Evaluation Note (</w:t>
            </w:r>
            <w:proofErr w:type="spellStart"/>
            <w:r w:rsidRPr="0016796F">
              <w:rPr>
                <w:rFonts w:cs="Arial"/>
                <w:sz w:val="16"/>
                <w:szCs w:val="16"/>
              </w:rPr>
              <w:t>EvNote</w:t>
            </w:r>
            <w:proofErr w:type="spellEnd"/>
            <w:r w:rsidRPr="0016796F">
              <w:rPr>
                <w:rFonts w:cs="Arial"/>
                <w:sz w:val="16"/>
                <w:szCs w:val="16"/>
              </w:rPr>
              <w:t>)</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Project Evaluation Summary (PES)</w:t>
            </w:r>
          </w:p>
        </w:tc>
      </w:tr>
      <w:tr w:rsidR="0049090F" w:rsidRPr="0016796F" w:rsidTr="0016796F">
        <w:tc>
          <w:tcPr>
            <w:tcW w:w="2626" w:type="dxa"/>
            <w:gridSpan w:val="2"/>
            <w:shd w:val="clear" w:color="auto" w:fill="auto"/>
            <w:vAlign w:val="center"/>
          </w:tcPr>
          <w:p w:rsidR="0049090F" w:rsidRPr="0016796F" w:rsidRDefault="0049090F" w:rsidP="00CB1225">
            <w:pPr>
              <w:spacing w:before="60" w:after="60"/>
              <w:jc w:val="left"/>
              <w:rPr>
                <w:rFonts w:cs="Arial"/>
                <w:sz w:val="16"/>
                <w:szCs w:val="16"/>
              </w:rPr>
            </w:pPr>
            <w:r w:rsidRPr="0016796F">
              <w:rPr>
                <w:rFonts w:cs="Arial"/>
                <w:sz w:val="16"/>
                <w:szCs w:val="16"/>
              </w:rPr>
              <w:t>International Fund for Agricultural Development (IFAD)</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Independent Office of Evaluation (IOE)</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Project Completion Report</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Project Completion Report Validation</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Project Performance Assessment</w:t>
            </w:r>
          </w:p>
        </w:tc>
      </w:tr>
      <w:tr w:rsidR="0049090F" w:rsidRPr="0016796F" w:rsidTr="0016796F">
        <w:tc>
          <w:tcPr>
            <w:tcW w:w="2626" w:type="dxa"/>
            <w:gridSpan w:val="2"/>
            <w:shd w:val="clear" w:color="auto" w:fill="auto"/>
            <w:vAlign w:val="center"/>
          </w:tcPr>
          <w:p w:rsidR="0049090F" w:rsidRPr="0016796F" w:rsidRDefault="0049090F" w:rsidP="00CB1225">
            <w:pPr>
              <w:spacing w:before="60" w:after="60"/>
              <w:jc w:val="left"/>
              <w:rPr>
                <w:rFonts w:cs="Arial"/>
                <w:sz w:val="16"/>
                <w:szCs w:val="16"/>
              </w:rPr>
            </w:pPr>
            <w:r w:rsidRPr="0016796F">
              <w:rPr>
                <w:rFonts w:cs="Arial"/>
                <w:sz w:val="16"/>
                <w:szCs w:val="16"/>
              </w:rPr>
              <w:t>Islamic Development Bank (</w:t>
            </w:r>
            <w:proofErr w:type="spellStart"/>
            <w:r w:rsidRPr="0016796F">
              <w:rPr>
                <w:rFonts w:cs="Arial"/>
                <w:sz w:val="16"/>
                <w:szCs w:val="16"/>
              </w:rPr>
              <w:t>IsDB</w:t>
            </w:r>
            <w:proofErr w:type="spellEnd"/>
            <w:r w:rsidRPr="0016796F">
              <w:rPr>
                <w:rFonts w:cs="Arial"/>
                <w:sz w:val="16"/>
                <w:szCs w:val="16"/>
              </w:rPr>
              <w:t>)</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Group Operations Evaluation Department</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Project Implementation Assessment and Support Report (PIASR)</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PIASR Evaluation Note (PIASREN)</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Project Performance Evaluation Report (PPER)</w:t>
            </w:r>
          </w:p>
        </w:tc>
      </w:tr>
      <w:tr w:rsidR="0049090F" w:rsidRPr="0016796F" w:rsidTr="0016796F">
        <w:tc>
          <w:tcPr>
            <w:tcW w:w="2626" w:type="dxa"/>
            <w:gridSpan w:val="2"/>
            <w:shd w:val="clear" w:color="auto" w:fill="auto"/>
            <w:vAlign w:val="center"/>
          </w:tcPr>
          <w:p w:rsidR="0049090F" w:rsidRPr="0016796F" w:rsidRDefault="0049090F" w:rsidP="00CB1225">
            <w:pPr>
              <w:spacing w:before="60" w:after="60"/>
              <w:jc w:val="left"/>
              <w:rPr>
                <w:rFonts w:cs="Arial"/>
                <w:sz w:val="16"/>
                <w:szCs w:val="16"/>
              </w:rPr>
            </w:pPr>
            <w:r w:rsidRPr="0016796F">
              <w:rPr>
                <w:rFonts w:cs="Arial"/>
                <w:sz w:val="16"/>
                <w:szCs w:val="16"/>
              </w:rPr>
              <w:t>Multilateral Investment Fund (MIF)</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Office of Evaluation and Oversight (OVE)</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Expanded Supervision Report (ESR)</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ESR Comments</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Independent Evaluation Report to the Donors Committee of the MIF</w:t>
            </w:r>
          </w:p>
        </w:tc>
      </w:tr>
      <w:tr w:rsidR="0049090F" w:rsidRPr="0016796F" w:rsidTr="0016796F">
        <w:tc>
          <w:tcPr>
            <w:tcW w:w="2626" w:type="dxa"/>
            <w:gridSpan w:val="2"/>
            <w:shd w:val="clear" w:color="auto" w:fill="auto"/>
            <w:vAlign w:val="center"/>
          </w:tcPr>
          <w:p w:rsidR="0049090F" w:rsidRPr="0016796F" w:rsidRDefault="0049090F" w:rsidP="00CB1225">
            <w:pPr>
              <w:spacing w:before="60" w:after="60"/>
              <w:jc w:val="left"/>
              <w:rPr>
                <w:rFonts w:cs="Arial"/>
                <w:sz w:val="16"/>
                <w:szCs w:val="16"/>
              </w:rPr>
            </w:pPr>
            <w:r w:rsidRPr="0016796F">
              <w:rPr>
                <w:rFonts w:cs="Arial"/>
                <w:sz w:val="16"/>
                <w:szCs w:val="16"/>
              </w:rPr>
              <w:lastRenderedPageBreak/>
              <w:t>Multilateral Investment Guarantee Agency (MIGA)</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Independent Evaluation Group (IEG)</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MIGA Project Evaluation Report (PER)</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Validation Note (VN)</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IEG Project Evaluation Report (PER)</w:t>
            </w:r>
          </w:p>
        </w:tc>
      </w:tr>
      <w:tr w:rsidR="0049090F" w:rsidRPr="0016796F" w:rsidTr="0016796F">
        <w:tc>
          <w:tcPr>
            <w:tcW w:w="2626" w:type="dxa"/>
            <w:gridSpan w:val="2"/>
            <w:shd w:val="clear" w:color="auto" w:fill="auto"/>
            <w:vAlign w:val="center"/>
          </w:tcPr>
          <w:p w:rsidR="0049090F" w:rsidRPr="0016796F" w:rsidRDefault="0049090F" w:rsidP="00CB1225">
            <w:pPr>
              <w:spacing w:before="60" w:after="60"/>
              <w:jc w:val="left"/>
              <w:rPr>
                <w:rFonts w:cs="Arial"/>
                <w:sz w:val="16"/>
                <w:szCs w:val="16"/>
              </w:rPr>
            </w:pPr>
            <w:r w:rsidRPr="0016796F">
              <w:rPr>
                <w:rFonts w:cs="Arial"/>
                <w:sz w:val="16"/>
                <w:szCs w:val="16"/>
              </w:rPr>
              <w:t>Black Sea Trade and Development Bank (BSTDB)</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Evaluation Office</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Operation Completion Report (OCR)</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OCR Validation Note</w:t>
            </w:r>
          </w:p>
        </w:tc>
        <w:tc>
          <w:tcPr>
            <w:tcW w:w="2626" w:type="dxa"/>
            <w:shd w:val="clear" w:color="auto" w:fill="auto"/>
            <w:vAlign w:val="center"/>
          </w:tcPr>
          <w:p w:rsidR="0049090F" w:rsidRPr="0016796F" w:rsidRDefault="0049090F" w:rsidP="00CB1225">
            <w:pPr>
              <w:spacing w:before="60" w:after="60"/>
              <w:jc w:val="center"/>
              <w:rPr>
                <w:rFonts w:cs="Arial"/>
                <w:sz w:val="16"/>
                <w:szCs w:val="16"/>
              </w:rPr>
            </w:pPr>
            <w:r w:rsidRPr="0016796F">
              <w:rPr>
                <w:rFonts w:cs="Arial"/>
                <w:sz w:val="16"/>
                <w:szCs w:val="16"/>
              </w:rPr>
              <w:t>Operation Performance Evaluation Report (OPER)</w:t>
            </w:r>
          </w:p>
        </w:tc>
      </w:tr>
    </w:tbl>
    <w:p w:rsidR="009B3431" w:rsidRPr="0016796F" w:rsidRDefault="009B3431"/>
    <w:sectPr w:rsidR="009B3431" w:rsidRPr="0016796F" w:rsidSect="009B3431">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035" w:rsidRDefault="00893035" w:rsidP="0049090F">
      <w:r>
        <w:separator/>
      </w:r>
    </w:p>
  </w:endnote>
  <w:endnote w:type="continuationSeparator" w:id="0">
    <w:p w:rsidR="00893035" w:rsidRDefault="00893035" w:rsidP="00490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035" w:rsidRDefault="00893035" w:rsidP="0049090F">
      <w:r>
        <w:separator/>
      </w:r>
    </w:p>
  </w:footnote>
  <w:footnote w:type="continuationSeparator" w:id="0">
    <w:p w:rsidR="00893035" w:rsidRDefault="00893035" w:rsidP="0049090F">
      <w:r>
        <w:continuationSeparator/>
      </w:r>
    </w:p>
  </w:footnote>
  <w:footnote w:id="1">
    <w:p w:rsidR="0049090F" w:rsidRPr="0016796F" w:rsidRDefault="0049090F" w:rsidP="0049090F">
      <w:pPr>
        <w:pStyle w:val="FootnoteText"/>
        <w:jc w:val="left"/>
        <w:rPr>
          <w:rFonts w:cs="Arial"/>
          <w:sz w:val="18"/>
          <w:szCs w:val="18"/>
        </w:rPr>
      </w:pPr>
      <w:r w:rsidRPr="0016796F">
        <w:rPr>
          <w:rStyle w:val="FootnoteReference"/>
          <w:rFonts w:cs="Arial"/>
          <w:szCs w:val="18"/>
          <w:vertAlign w:val="baseline"/>
        </w:rPr>
        <w:footnoteRef/>
      </w:r>
      <w:r w:rsidRPr="0016796F">
        <w:rPr>
          <w:rFonts w:cs="Arial"/>
          <w:sz w:val="18"/>
          <w:szCs w:val="18"/>
        </w:rPr>
        <w:t xml:space="preserve"> </w:t>
      </w:r>
      <w:r w:rsidR="000E64CD" w:rsidRPr="00D926A9">
        <w:rPr>
          <w:rFonts w:cs="Arial"/>
          <w:sz w:val="18"/>
          <w:szCs w:val="18"/>
        </w:rPr>
        <w:t xml:space="preserve">The generic standards on independence of evaluation departments were excluded from the GPS on Evaluation of Private Sector Operations as these already  constitute </w:t>
      </w:r>
      <w:hyperlink r:id="rId1" w:history="1">
        <w:r w:rsidR="000E64CD" w:rsidRPr="003328E7">
          <w:rPr>
            <w:rStyle w:val="Hyperlink"/>
            <w:rFonts w:cs="Arial"/>
            <w:color w:val="0000FF"/>
            <w:sz w:val="18"/>
            <w:szCs w:val="18"/>
          </w:rPr>
          <w:t>Chapter II of the Big Book which contain GPS on Independence of IFIs’ CED</w:t>
        </w:r>
      </w:hyperlink>
      <w:r w:rsidR="000E64CD" w:rsidRPr="00D926A9">
        <w:rPr>
          <w:rFonts w:cs="Arial"/>
          <w:sz w:val="18"/>
          <w:szCs w:val="18"/>
        </w:rPr>
        <w:t xml:space="preserve"> (June 2010). The same treatment was done on specific standards on indirect evaluation (otherwise referred to as self-evaluation) which are presented in </w:t>
      </w:r>
      <w:bookmarkStart w:id="0" w:name="_GoBack"/>
      <w:r w:rsidR="00893035" w:rsidRPr="003328E7">
        <w:rPr>
          <w:color w:val="0000FF"/>
        </w:rPr>
        <w:fldChar w:fldCharType="begin"/>
      </w:r>
      <w:r w:rsidR="003328E7" w:rsidRPr="003328E7">
        <w:rPr>
          <w:color w:val="0000FF"/>
        </w:rPr>
        <w:instrText>HYPERLINK "/LotusQuickr/ecg/PageLibrary48257B910010370B.nsf/h_B6C976661FFF2E4C48257B96002C7914/55093303FBEBB85A48257B96002C7C44/?OpenDocument&amp;Form=h_PageUI"</w:instrText>
      </w:r>
      <w:r w:rsidR="003328E7" w:rsidRPr="003328E7">
        <w:rPr>
          <w:color w:val="0000FF"/>
        </w:rPr>
      </w:r>
      <w:r w:rsidR="00893035" w:rsidRPr="003328E7">
        <w:rPr>
          <w:color w:val="0000FF"/>
        </w:rPr>
        <w:fldChar w:fldCharType="separate"/>
      </w:r>
      <w:r w:rsidR="000E64CD" w:rsidRPr="003328E7">
        <w:rPr>
          <w:rStyle w:val="Hyperlink"/>
          <w:rFonts w:cs="Arial"/>
          <w:color w:val="0000FF"/>
          <w:sz w:val="18"/>
          <w:szCs w:val="18"/>
        </w:rPr>
        <w:t>Chapter VI on Self-Evaluation</w:t>
      </w:r>
      <w:r w:rsidR="00893035" w:rsidRPr="003328E7">
        <w:rPr>
          <w:rStyle w:val="Hyperlink"/>
          <w:rFonts w:cs="Arial"/>
          <w:color w:val="0000FF"/>
          <w:sz w:val="18"/>
          <w:szCs w:val="18"/>
        </w:rPr>
        <w:fldChar w:fldCharType="end"/>
      </w:r>
      <w:bookmarkEnd w:id="0"/>
      <w:r w:rsidR="000E64CD" w:rsidRPr="00D926A9">
        <w:rPr>
          <w:rFonts w:cs="Arial"/>
          <w:sz w:val="18"/>
          <w:szCs w:val="18"/>
        </w:rPr>
        <w:t>. Relatedly, GPS on Evaluation of Private Sector Operations use the terms “direct and indirect” evaluation to refer to self- and independent evaluation, respectively, to acknowledge the differences in terminology used in the different IFIs which reflect the nature of CED’s interface with an actual project (based on clarification from consultant of ECG WGPSE.).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0F" w:rsidRDefault="00893035">
    <w:pPr>
      <w:pStyle w:val="Header"/>
    </w:pPr>
    <w:r>
      <w:rPr>
        <w:noProof/>
        <w:lang w:eastAsia="en-US"/>
      </w:rPr>
      <w:pict>
        <v:shapetype id="_x0000_t202" coordsize="21600,21600" o:spt="202" path="m,l,21600r21600,l21600,xe">
          <v:stroke joinstyle="miter"/>
          <v:path gradientshapeok="t" o:connecttype="rect"/>
        </v:shapetype>
        <v:shape id="_x0000_s2049" type="#_x0000_t202" style="position:absolute;left:0;text-align:left;margin-left:645.15pt;margin-top:33.4pt;width:46pt;height:199.45pt;z-index:251660288" stroked="f">
          <v:textbox style="layout-flow:vertical;mso-next-textbox:#_x0000_s2049">
            <w:txbxContent>
              <w:p w:rsidR="0049090F" w:rsidRPr="002B668B" w:rsidRDefault="009730FE" w:rsidP="00A44598">
                <w:pPr>
                  <w:pStyle w:val="Header"/>
                  <w:tabs>
                    <w:tab w:val="left" w:pos="720"/>
                    <w:tab w:val="center" w:pos="4680"/>
                    <w:tab w:val="right" w:pos="9360"/>
                  </w:tabs>
                  <w:jc w:val="left"/>
                  <w:rPr>
                    <w:rFonts w:cs="Arial"/>
                    <w:bCs/>
                    <w:sz w:val="18"/>
                    <w:szCs w:val="18"/>
                  </w:rPr>
                </w:pPr>
                <w:r w:rsidRPr="002B668B">
                  <w:rPr>
                    <w:rFonts w:cs="Arial"/>
                    <w:bCs/>
                    <w:szCs w:val="22"/>
                  </w:rPr>
                  <w:fldChar w:fldCharType="begin"/>
                </w:r>
                <w:r w:rsidR="0049090F" w:rsidRPr="002B668B">
                  <w:rPr>
                    <w:rFonts w:cs="Arial"/>
                    <w:bCs/>
                    <w:szCs w:val="22"/>
                  </w:rPr>
                  <w:instrText xml:space="preserve"> PAGE   \* MERGEFORMAT </w:instrText>
                </w:r>
                <w:r w:rsidRPr="002B668B">
                  <w:rPr>
                    <w:rFonts w:cs="Arial"/>
                    <w:bCs/>
                    <w:szCs w:val="22"/>
                  </w:rPr>
                  <w:fldChar w:fldCharType="separate"/>
                </w:r>
                <w:r w:rsidR="0049090F">
                  <w:rPr>
                    <w:rFonts w:cs="Arial"/>
                    <w:bCs/>
                    <w:noProof/>
                    <w:szCs w:val="22"/>
                  </w:rPr>
                  <w:t>86</w:t>
                </w:r>
                <w:r w:rsidRPr="002B668B">
                  <w:rPr>
                    <w:rFonts w:cs="Arial"/>
                    <w:bCs/>
                    <w:szCs w:val="22"/>
                  </w:rPr>
                  <w:fldChar w:fldCharType="end"/>
                </w:r>
                <w:r w:rsidR="0049090F" w:rsidRPr="002B668B">
                  <w:rPr>
                    <w:rFonts w:cs="Arial"/>
                    <w:bCs/>
                    <w:szCs w:val="22"/>
                  </w:rPr>
                  <w:t xml:space="preserve">     </w:t>
                </w:r>
                <w:r w:rsidR="0049090F">
                  <w:rPr>
                    <w:rFonts w:cs="Arial"/>
                    <w:bCs/>
                    <w:szCs w:val="22"/>
                  </w:rPr>
                  <w:t xml:space="preserve">   </w:t>
                </w:r>
                <w:r w:rsidR="0049090F" w:rsidRPr="002B668B">
                  <w:rPr>
                    <w:rFonts w:cs="Arial"/>
                    <w:bCs/>
                    <w:sz w:val="18"/>
                    <w:szCs w:val="18"/>
                  </w:rPr>
                  <w:t>Good Practices Standards</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0F" w:rsidRDefault="00893035">
    <w:r>
      <w:rPr>
        <w:noProof/>
        <w:lang w:eastAsia="en-US"/>
      </w:rPr>
      <w:pict>
        <v:shapetype id="_x0000_t202" coordsize="21600,21600" o:spt="202" path="m,l,21600r21600,l21600,xe">
          <v:stroke joinstyle="miter"/>
          <v:path gradientshapeok="t" o:connecttype="rect"/>
        </v:shapetype>
        <v:shape id="_x0000_s2050" type="#_x0000_t202" style="position:absolute;left:0;text-align:left;margin-left:645.05pt;margin-top:70.05pt;width:52.3pt;height:437.55pt;z-index:251661312" stroked="f">
          <v:textbox style="layout-flow:vertical;mso-next-textbox:#_x0000_s2050">
            <w:txbxContent>
              <w:p w:rsidR="0049090F" w:rsidRPr="002B668B" w:rsidRDefault="0049090F" w:rsidP="00A44598">
                <w:pPr>
                  <w:pStyle w:val="Header"/>
                  <w:tabs>
                    <w:tab w:val="right" w:pos="11520"/>
                    <w:tab w:val="right" w:pos="12240"/>
                  </w:tabs>
                  <w:ind w:firstLine="720"/>
                  <w:jc w:val="right"/>
                  <w:rPr>
                    <w:rFonts w:cs="Arial"/>
                    <w:sz w:val="18"/>
                    <w:szCs w:val="18"/>
                  </w:rPr>
                </w:pPr>
                <w:r>
                  <w:rPr>
                    <w:sz w:val="18"/>
                    <w:szCs w:val="18"/>
                  </w:rPr>
                  <w:tab/>
                </w:r>
                <w:r w:rsidRPr="00CE2F78">
                  <w:rPr>
                    <w:rFonts w:cs="Arial"/>
                    <w:sz w:val="18"/>
                    <w:szCs w:val="18"/>
                  </w:rPr>
                  <w:t>GPS on Evaluation of P</w:t>
                </w:r>
                <w:r>
                  <w:rPr>
                    <w:rFonts w:cs="Arial"/>
                    <w:sz w:val="18"/>
                    <w:szCs w:val="18"/>
                  </w:rPr>
                  <w:t>rivate</w:t>
                </w:r>
                <w:r w:rsidRPr="00CE2F78">
                  <w:rPr>
                    <w:rFonts w:cs="Arial"/>
                    <w:sz w:val="18"/>
                    <w:szCs w:val="18"/>
                  </w:rPr>
                  <w:t xml:space="preserve"> Sector Operations</w:t>
                </w:r>
                <w:r>
                  <w:t xml:space="preserve"> </w:t>
                </w:r>
                <w:r w:rsidRPr="002B668B">
                  <w:rPr>
                    <w:rFonts w:cs="Arial"/>
                    <w:i/>
                    <w:sz w:val="18"/>
                    <w:szCs w:val="18"/>
                  </w:rPr>
                  <w:t xml:space="preserve">     </w:t>
                </w:r>
                <w:r w:rsidRPr="002B668B">
                  <w:rPr>
                    <w:rFonts w:cs="Arial"/>
                    <w:i/>
                    <w:szCs w:val="22"/>
                  </w:rPr>
                  <w:t xml:space="preserve"> </w:t>
                </w:r>
                <w:r w:rsidR="009730FE" w:rsidRPr="002B668B">
                  <w:rPr>
                    <w:rFonts w:cs="Arial"/>
                    <w:szCs w:val="22"/>
                  </w:rPr>
                  <w:fldChar w:fldCharType="begin"/>
                </w:r>
                <w:r w:rsidRPr="002B668B">
                  <w:rPr>
                    <w:rFonts w:cs="Arial"/>
                    <w:szCs w:val="22"/>
                  </w:rPr>
                  <w:instrText xml:space="preserve"> PAGE   \* MERGEFORMAT </w:instrText>
                </w:r>
                <w:r w:rsidR="009730FE" w:rsidRPr="002B668B">
                  <w:rPr>
                    <w:rFonts w:cs="Arial"/>
                    <w:szCs w:val="22"/>
                  </w:rPr>
                  <w:fldChar w:fldCharType="separate"/>
                </w:r>
                <w:r w:rsidR="003328E7">
                  <w:rPr>
                    <w:rFonts w:cs="Arial"/>
                    <w:noProof/>
                    <w:szCs w:val="22"/>
                  </w:rPr>
                  <w:t>1</w:t>
                </w:r>
                <w:r w:rsidR="009730FE" w:rsidRPr="002B668B">
                  <w:rPr>
                    <w:rFonts w:cs="Arial"/>
                    <w:szCs w:val="22"/>
                  </w:rPr>
                  <w:fldChar w:fldCharType="end"/>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9090F"/>
    <w:rsid w:val="0003306B"/>
    <w:rsid w:val="000A772F"/>
    <w:rsid w:val="000E64CD"/>
    <w:rsid w:val="0016796F"/>
    <w:rsid w:val="001C2184"/>
    <w:rsid w:val="00226272"/>
    <w:rsid w:val="00233E4B"/>
    <w:rsid w:val="00250485"/>
    <w:rsid w:val="00252E03"/>
    <w:rsid w:val="003328E7"/>
    <w:rsid w:val="00377FA6"/>
    <w:rsid w:val="0040305B"/>
    <w:rsid w:val="004513F5"/>
    <w:rsid w:val="0049090F"/>
    <w:rsid w:val="00490A9A"/>
    <w:rsid w:val="004D6D6F"/>
    <w:rsid w:val="007B4D47"/>
    <w:rsid w:val="007E207F"/>
    <w:rsid w:val="008151F6"/>
    <w:rsid w:val="0088138B"/>
    <w:rsid w:val="00893035"/>
    <w:rsid w:val="009730FE"/>
    <w:rsid w:val="009B3431"/>
    <w:rsid w:val="00A61411"/>
    <w:rsid w:val="00AA0E25"/>
    <w:rsid w:val="00BD3010"/>
    <w:rsid w:val="00C171FE"/>
    <w:rsid w:val="00E82A1E"/>
    <w:rsid w:val="00FD0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90F"/>
    <w:pPr>
      <w:widowControl w:val="0"/>
      <w:jc w:val="both"/>
    </w:pPr>
    <w:rPr>
      <w:rFonts w:ascii="Arial" w:eastAsia="SimSun" w:hAnsi="Arial"/>
      <w:kern w:val="2"/>
      <w:sz w:val="22"/>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tref"/>
    <w:basedOn w:val="DefaultParagraphFont"/>
    <w:uiPriority w:val="99"/>
    <w:rsid w:val="0049090F"/>
    <w:rPr>
      <w:rFonts w:ascii="Arial" w:hAnsi="Arial"/>
      <w:sz w:val="18"/>
      <w:vertAlign w:val="superscript"/>
    </w:rPr>
  </w:style>
  <w:style w:type="paragraph" w:styleId="FootnoteText">
    <w:name w:val="footnote text"/>
    <w:aliases w:val="FOOTNOTES,fn,single space,footnote text,ft"/>
    <w:basedOn w:val="Normal"/>
    <w:link w:val="FootnoteTextChar"/>
    <w:uiPriority w:val="99"/>
    <w:qFormat/>
    <w:rsid w:val="0049090F"/>
    <w:pPr>
      <w:ind w:left="187" w:hanging="187"/>
    </w:pPr>
    <w:rPr>
      <w:sz w:val="20"/>
      <w:szCs w:val="20"/>
    </w:rPr>
  </w:style>
  <w:style w:type="character" w:customStyle="1" w:styleId="FootnoteTextChar">
    <w:name w:val="Footnote Text Char"/>
    <w:aliases w:val="FOOTNOTES Char,fn Char,single space Char,footnote text Char,ft Char"/>
    <w:basedOn w:val="DefaultParagraphFont"/>
    <w:link w:val="FootnoteText"/>
    <w:uiPriority w:val="99"/>
    <w:rsid w:val="0049090F"/>
    <w:rPr>
      <w:rFonts w:ascii="Arial" w:eastAsia="SimSun" w:hAnsi="Arial"/>
      <w:kern w:val="2"/>
      <w:lang w:eastAsia="zh-CN"/>
    </w:rPr>
  </w:style>
  <w:style w:type="paragraph" w:styleId="Header">
    <w:name w:val="header"/>
    <w:basedOn w:val="Normal"/>
    <w:link w:val="HeaderChar"/>
    <w:uiPriority w:val="99"/>
    <w:rsid w:val="0049090F"/>
    <w:pPr>
      <w:tabs>
        <w:tab w:val="center" w:pos="4320"/>
        <w:tab w:val="right" w:pos="8640"/>
      </w:tabs>
    </w:pPr>
  </w:style>
  <w:style w:type="character" w:customStyle="1" w:styleId="HeaderChar">
    <w:name w:val="Header Char"/>
    <w:basedOn w:val="DefaultParagraphFont"/>
    <w:link w:val="Header"/>
    <w:uiPriority w:val="99"/>
    <w:rsid w:val="0049090F"/>
    <w:rPr>
      <w:rFonts w:ascii="Arial" w:eastAsia="SimSun" w:hAnsi="Arial"/>
      <w:kern w:val="2"/>
      <w:sz w:val="22"/>
      <w:szCs w:val="24"/>
      <w:lang w:eastAsia="zh-CN"/>
    </w:rPr>
  </w:style>
  <w:style w:type="paragraph" w:customStyle="1" w:styleId="MainHeading">
    <w:name w:val="Main Heading"/>
    <w:basedOn w:val="Normal"/>
    <w:qFormat/>
    <w:rsid w:val="0049090F"/>
    <w:pPr>
      <w:keepLines/>
      <w:widowControl/>
      <w:tabs>
        <w:tab w:val="right" w:pos="14034"/>
      </w:tabs>
      <w:suppressAutoHyphens/>
      <w:spacing w:line="264" w:lineRule="auto"/>
    </w:pPr>
    <w:rPr>
      <w:rFonts w:eastAsia="Times New Roman"/>
      <w:b/>
      <w:kern w:val="0"/>
      <w:szCs w:val="20"/>
      <w:lang w:val="en-GB" w:eastAsia="en-US"/>
    </w:rPr>
  </w:style>
  <w:style w:type="character" w:styleId="Hyperlink">
    <w:name w:val="Hyperlink"/>
    <w:basedOn w:val="DefaultParagraphFont"/>
    <w:uiPriority w:val="99"/>
    <w:unhideWhenUsed/>
    <w:rsid w:val="001679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LotusQuickr/ecg/PageLibrary48257B910010370B.nsf/h_Toc/BAE2AD8358BE35F948257B9600294DDD/?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437</Words>
  <Characters>2494</Characters>
  <Application>Microsoft Office Word</Application>
  <DocSecurity>0</DocSecurity>
  <Lines>20</Lines>
  <Paragraphs>5</Paragraphs>
  <ScaleCrop>false</ScaleCrop>
  <Company> </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therese2</dc:creator>
  <cp:keywords/>
  <dc:description/>
  <cp:lastModifiedBy>Therese</cp:lastModifiedBy>
  <cp:revision>5</cp:revision>
  <dcterms:created xsi:type="dcterms:W3CDTF">2013-06-26T07:30:00Z</dcterms:created>
  <dcterms:modified xsi:type="dcterms:W3CDTF">2013-10-04T10:17:00Z</dcterms:modified>
</cp:coreProperties>
</file>