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30" w:rsidRPr="00964F47" w:rsidRDefault="005C1630" w:rsidP="00964F47">
      <w:pPr>
        <w:rPr>
          <w:b/>
        </w:rPr>
      </w:pPr>
      <w:bookmarkStart w:id="0" w:name="_Toc337121881"/>
      <w:r w:rsidRPr="00964F47">
        <w:rPr>
          <w:b/>
        </w:rPr>
        <w:t>Annex IV.3: Lookup Table for Determining Early Operating Maturity</w:t>
      </w:r>
      <w:bookmarkEnd w:id="0"/>
      <w:r w:rsidR="002D7C26" w:rsidRPr="00964F47">
        <w:rPr>
          <w:b/>
        </w:rPr>
        <w:t xml:space="preserve"> – Private Sector Evaluations</w:t>
      </w:r>
    </w:p>
    <w:p w:rsidR="005C1630" w:rsidRDefault="005C1630" w:rsidP="005C1630">
      <w:pPr>
        <w:pStyle w:val="General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7"/>
        <w:gridCol w:w="2329"/>
        <w:gridCol w:w="2330"/>
        <w:gridCol w:w="2330"/>
        <w:gridCol w:w="2330"/>
        <w:gridCol w:w="2330"/>
      </w:tblGrid>
      <w:tr w:rsidR="005C1630" w:rsidRPr="00852C36" w:rsidTr="005C1630">
        <w:tc>
          <w:tcPr>
            <w:tcW w:w="1527" w:type="dxa"/>
            <w:shd w:val="clear" w:color="auto" w:fill="auto"/>
          </w:tcPr>
          <w:p w:rsidR="005C1630" w:rsidRPr="00E3766D" w:rsidRDefault="005C1630" w:rsidP="00CB1225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E3766D">
              <w:rPr>
                <w:b/>
                <w:sz w:val="16"/>
                <w:szCs w:val="16"/>
              </w:rPr>
              <w:t>IFI Support Instrument:</w:t>
            </w:r>
          </w:p>
        </w:tc>
        <w:tc>
          <w:tcPr>
            <w:tcW w:w="2329" w:type="dxa"/>
          </w:tcPr>
          <w:p w:rsidR="005C1630" w:rsidRPr="00E3766D" w:rsidRDefault="005C1630" w:rsidP="00CB122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3766D">
              <w:rPr>
                <w:b/>
                <w:sz w:val="16"/>
                <w:szCs w:val="16"/>
              </w:rPr>
              <w:t>Project Type A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3766D">
              <w:rPr>
                <w:b/>
                <w:sz w:val="16"/>
                <w:szCs w:val="16"/>
              </w:rPr>
              <w:t>Project Type B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3766D">
              <w:rPr>
                <w:b/>
                <w:sz w:val="16"/>
                <w:szCs w:val="16"/>
              </w:rPr>
              <w:t>Project Type C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3766D">
              <w:rPr>
                <w:b/>
                <w:sz w:val="16"/>
                <w:szCs w:val="16"/>
              </w:rPr>
              <w:t>Project Type D1</w:t>
            </w:r>
          </w:p>
        </w:tc>
        <w:tc>
          <w:tcPr>
            <w:tcW w:w="2330" w:type="dxa"/>
            <w:shd w:val="clear" w:color="auto" w:fill="auto"/>
          </w:tcPr>
          <w:p w:rsidR="005C1630" w:rsidRPr="00E3766D" w:rsidRDefault="005C1630" w:rsidP="00CB122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E3766D">
              <w:rPr>
                <w:b/>
                <w:sz w:val="16"/>
                <w:szCs w:val="16"/>
              </w:rPr>
              <w:t>Project Type D2</w:t>
            </w:r>
          </w:p>
        </w:tc>
      </w:tr>
      <w:tr w:rsidR="005C1630" w:rsidRPr="00852C36" w:rsidTr="005C1630">
        <w:tc>
          <w:tcPr>
            <w:tcW w:w="1527" w:type="dxa"/>
            <w:shd w:val="clear" w:color="auto" w:fill="auto"/>
          </w:tcPr>
          <w:p w:rsidR="005C1630" w:rsidRPr="00E3766D" w:rsidRDefault="005C1630" w:rsidP="00CB1225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E3766D">
              <w:rPr>
                <w:b/>
                <w:sz w:val="16"/>
                <w:szCs w:val="16"/>
              </w:rPr>
              <w:t>Loan / Equity / Quasi-Equity</w:t>
            </w:r>
          </w:p>
        </w:tc>
        <w:tc>
          <w:tcPr>
            <w:tcW w:w="2329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(a) The project has been substantially completed;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(b) The project has generated at least 18 months of operating revenues for the company;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(c) The IFI has received at least one set of audited annual financial statements covering at least 12 months of operating revenues generated by the project.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(a) The IFI has made its final material disbursement (i.e., any further disbursements will be minor in comparison to the overall facility size and not critical to project implementation);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(b) Other parallel financing (if applicable) has also been disbursed;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(c) The IFI has received at least one set of audited annual financial statements covering at least 36 months of operating revenues post-disbursement.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(a) The IFI has made its final material disbursement (i.e., any further disbursements will be minor in comparison to the overall facility size and not critical to project implementation);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(b) Other parallel financing (if applicable) has also been disbursed;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(c) The IFI has received at least one set of audited annual financial statements covering at least 24 months of operating revenues post-disbursement.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(a) Where the principal objective is to assist capital expenditure projects in sub-borrowers, at least 30 months should have elapsed following the IFI’s final material disbursement to the Financial Intermediary.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(b) Where the principal objective is to support the short-term working capital or trade finance requirements of sub-borrowers, at least 24 months should have elapsed following project approval/commitment.</w:t>
            </w:r>
          </w:p>
        </w:tc>
        <w:tc>
          <w:tcPr>
            <w:tcW w:w="2330" w:type="dxa"/>
            <w:shd w:val="clear" w:color="auto" w:fill="auto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(a) For all funds, the substantial majority of sub-investments should have been exited; or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(b) For private equity funds, at least 36 months should have elapsed following the IFI’s final material disbursement to the fund (ignoring disbursements for small follow-up investments in existing client companies and disbursements to cover management fees or other expenses); or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(c) For listed equity funds, at least 18 months have elapsed following the IFI’s final material disbursement to the fund (ignoring disbursements to cover management fees or other expenses).</w:t>
            </w:r>
          </w:p>
        </w:tc>
      </w:tr>
      <w:tr w:rsidR="005C1630" w:rsidRPr="00852C36" w:rsidTr="005C1630">
        <w:tc>
          <w:tcPr>
            <w:tcW w:w="1527" w:type="dxa"/>
            <w:shd w:val="clear" w:color="auto" w:fill="auto"/>
          </w:tcPr>
          <w:p w:rsidR="005C1630" w:rsidRPr="00E3766D" w:rsidRDefault="005C1630" w:rsidP="00CB1225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E3766D">
              <w:rPr>
                <w:b/>
                <w:sz w:val="16"/>
                <w:szCs w:val="16"/>
              </w:rPr>
              <w:t>Financial Guarantee</w:t>
            </w:r>
          </w:p>
        </w:tc>
        <w:tc>
          <w:tcPr>
            <w:tcW w:w="2329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(a) The project has been substantially completed;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(b) The project has generated at least 18 months of operating revenues for the company;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(c) The IFI has received at least one set of audited annual financial statements covering at least 12 months of operating revenues generated by the project.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(a) The IFI has issued the guarantee and is at or near its approved exposure limit;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(b) Other parallel financing (if applicable) has also been disbursed;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(c) The IFI has received at least one set of audited annual financial statements covering at least 36 months of operating revenues post-issuance and disbursement of parallel funding (if applicable).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(a) The IFI has issued the guarantee and is at or near its approved exposure limit;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(b) Other parallel financing (if applicable) has also been disbursed; and</w:t>
            </w:r>
          </w:p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(c) The IFI has received at least one set of audited annual financial statements covering at least 24 months of operating revenues post-issuance and disbursement of parallel funding (if applicable).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(a) Where the principal objective is to support the short-term trade finance requirements of sub-borrowers, at least 24 months should have elapsed following project approval/ commitment.</w:t>
            </w:r>
          </w:p>
        </w:tc>
        <w:tc>
          <w:tcPr>
            <w:tcW w:w="2330" w:type="dxa"/>
            <w:shd w:val="clear" w:color="auto" w:fill="auto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>Not Applicable.</w:t>
            </w:r>
          </w:p>
        </w:tc>
      </w:tr>
      <w:tr w:rsidR="005C1630" w:rsidRPr="00852C36" w:rsidTr="005C1630">
        <w:tc>
          <w:tcPr>
            <w:tcW w:w="1527" w:type="dxa"/>
            <w:shd w:val="clear" w:color="auto" w:fill="auto"/>
          </w:tcPr>
          <w:p w:rsidR="005C1630" w:rsidRPr="00E3766D" w:rsidRDefault="005C1630" w:rsidP="00CB1225">
            <w:pPr>
              <w:spacing w:before="60" w:after="60"/>
              <w:jc w:val="left"/>
              <w:rPr>
                <w:b/>
                <w:sz w:val="16"/>
                <w:szCs w:val="16"/>
              </w:rPr>
            </w:pPr>
            <w:r w:rsidRPr="00E3766D">
              <w:rPr>
                <w:b/>
                <w:sz w:val="16"/>
                <w:szCs w:val="16"/>
              </w:rPr>
              <w:t xml:space="preserve">MIGA Political Risk Insurance </w:t>
            </w:r>
          </w:p>
        </w:tc>
        <w:tc>
          <w:tcPr>
            <w:tcW w:w="2329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t xml:space="preserve">(a) at least 36 months should have elapsed following the issuance of the PRI </w:t>
            </w:r>
            <w:r w:rsidRPr="00E3766D">
              <w:rPr>
                <w:sz w:val="16"/>
                <w:szCs w:val="16"/>
              </w:rPr>
              <w:lastRenderedPageBreak/>
              <w:t>guarantee.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lastRenderedPageBreak/>
              <w:t xml:space="preserve">(a) at least 36 months should have elapsed following the issuance of the PRI </w:t>
            </w:r>
            <w:r w:rsidRPr="00E3766D">
              <w:rPr>
                <w:sz w:val="16"/>
                <w:szCs w:val="16"/>
              </w:rPr>
              <w:lastRenderedPageBreak/>
              <w:t>guarantee.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lastRenderedPageBreak/>
              <w:t xml:space="preserve">(a) at least 36 months should have elapsed following the issuance of the PRI </w:t>
            </w:r>
            <w:r w:rsidRPr="00E3766D">
              <w:rPr>
                <w:sz w:val="16"/>
                <w:szCs w:val="16"/>
              </w:rPr>
              <w:lastRenderedPageBreak/>
              <w:t>guarantee.</w:t>
            </w:r>
          </w:p>
        </w:tc>
        <w:tc>
          <w:tcPr>
            <w:tcW w:w="2330" w:type="dxa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lastRenderedPageBreak/>
              <w:t xml:space="preserve">(a) at least 36 months should have elapsed following the issuance of the PRI </w:t>
            </w:r>
            <w:r w:rsidRPr="00E3766D">
              <w:rPr>
                <w:sz w:val="16"/>
                <w:szCs w:val="16"/>
              </w:rPr>
              <w:lastRenderedPageBreak/>
              <w:t>guarantee.</w:t>
            </w:r>
          </w:p>
        </w:tc>
        <w:tc>
          <w:tcPr>
            <w:tcW w:w="2330" w:type="dxa"/>
            <w:shd w:val="clear" w:color="auto" w:fill="auto"/>
          </w:tcPr>
          <w:p w:rsidR="005C1630" w:rsidRPr="00E3766D" w:rsidRDefault="005C1630" w:rsidP="00CB1225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E3766D">
              <w:rPr>
                <w:sz w:val="16"/>
                <w:szCs w:val="16"/>
              </w:rPr>
              <w:lastRenderedPageBreak/>
              <w:t xml:space="preserve">(a) at least 36 months should have elapsed following the issuance of the PRI </w:t>
            </w:r>
            <w:r w:rsidRPr="00E3766D">
              <w:rPr>
                <w:sz w:val="16"/>
                <w:szCs w:val="16"/>
              </w:rPr>
              <w:lastRenderedPageBreak/>
              <w:t>guarantee.</w:t>
            </w:r>
          </w:p>
        </w:tc>
      </w:tr>
    </w:tbl>
    <w:p w:rsidR="005C1630" w:rsidRDefault="005C1630" w:rsidP="005C1630">
      <w:pPr>
        <w:pStyle w:val="MainHeading"/>
      </w:pPr>
    </w:p>
    <w:p w:rsidR="009B3431" w:rsidRDefault="009B3431"/>
    <w:sectPr w:rsidR="009B3431" w:rsidSect="005C16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C1630"/>
    <w:rsid w:val="000A772F"/>
    <w:rsid w:val="001C2184"/>
    <w:rsid w:val="00226272"/>
    <w:rsid w:val="00233E4B"/>
    <w:rsid w:val="00250485"/>
    <w:rsid w:val="00252E03"/>
    <w:rsid w:val="002D7C26"/>
    <w:rsid w:val="00377FA6"/>
    <w:rsid w:val="0040305B"/>
    <w:rsid w:val="004513F5"/>
    <w:rsid w:val="00490A9A"/>
    <w:rsid w:val="004D6D6F"/>
    <w:rsid w:val="005A5CB0"/>
    <w:rsid w:val="005C1630"/>
    <w:rsid w:val="007B4D47"/>
    <w:rsid w:val="007E207F"/>
    <w:rsid w:val="008151F6"/>
    <w:rsid w:val="0088138B"/>
    <w:rsid w:val="00964F47"/>
    <w:rsid w:val="009766C1"/>
    <w:rsid w:val="009B3431"/>
    <w:rsid w:val="00AA0E25"/>
    <w:rsid w:val="00AC7E02"/>
    <w:rsid w:val="00C171FE"/>
    <w:rsid w:val="00C57FB0"/>
    <w:rsid w:val="00E3766D"/>
    <w:rsid w:val="00E82A1E"/>
    <w:rsid w:val="00FD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30"/>
    <w:pPr>
      <w:widowControl w:val="0"/>
      <w:jc w:val="both"/>
    </w:pPr>
    <w:rPr>
      <w:rFonts w:ascii="Arial" w:eastAsia="SimSun" w:hAnsi="Arial"/>
      <w:kern w:val="2"/>
      <w:sz w:val="2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Text">
    <w:name w:val="General Text"/>
    <w:basedOn w:val="Normal"/>
    <w:rsid w:val="005C1630"/>
    <w:pPr>
      <w:keepLines/>
      <w:widowControl/>
      <w:suppressAutoHyphens/>
      <w:spacing w:before="120" w:line="264" w:lineRule="auto"/>
    </w:pPr>
    <w:rPr>
      <w:rFonts w:eastAsia="Times New Roman"/>
      <w:kern w:val="0"/>
      <w:sz w:val="18"/>
      <w:szCs w:val="20"/>
      <w:lang w:val="en-GB" w:eastAsia="en-US"/>
    </w:rPr>
  </w:style>
  <w:style w:type="paragraph" w:customStyle="1" w:styleId="MainHeading">
    <w:name w:val="Main Heading"/>
    <w:basedOn w:val="Normal"/>
    <w:qFormat/>
    <w:rsid w:val="005C1630"/>
    <w:pPr>
      <w:keepLines/>
      <w:widowControl/>
      <w:tabs>
        <w:tab w:val="right" w:pos="14034"/>
      </w:tabs>
      <w:suppressAutoHyphens/>
      <w:spacing w:line="264" w:lineRule="auto"/>
    </w:pPr>
    <w:rPr>
      <w:rFonts w:eastAsia="Times New Roman"/>
      <w:b/>
      <w:kern w:val="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3458</Characters>
  <Application>Microsoft Office Word</Application>
  <DocSecurity>0</DocSecurity>
  <Lines>28</Lines>
  <Paragraphs>8</Paragraphs>
  <ScaleCrop>false</ScaleCrop>
  <Company> 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therese2</dc:creator>
  <cp:keywords/>
  <dc:description/>
  <cp:lastModifiedBy> therese2</cp:lastModifiedBy>
  <cp:revision>5</cp:revision>
  <dcterms:created xsi:type="dcterms:W3CDTF">2013-06-26T07:24:00Z</dcterms:created>
  <dcterms:modified xsi:type="dcterms:W3CDTF">2013-06-28T09:47:00Z</dcterms:modified>
</cp:coreProperties>
</file>