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1A" w:rsidRPr="002740E3" w:rsidRDefault="0029461A" w:rsidP="00816F56">
      <w:pPr>
        <w:pStyle w:val="AppHead"/>
        <w:jc w:val="left"/>
        <w:rPr>
          <w:rFonts w:ascii="Arial" w:hAnsi="Arial"/>
          <w:lang w:val="en-US"/>
        </w:rPr>
      </w:pPr>
      <w:r w:rsidRPr="002740E3">
        <w:rPr>
          <w:rFonts w:ascii="Arial" w:hAnsi="Arial"/>
          <w:caps w:val="0"/>
          <w:lang w:val="en-US"/>
        </w:rPr>
        <w:t>Annex V.1: Evaluation Cooperation Group Progress Benchmarking Template</w:t>
      </w:r>
      <w:r w:rsidR="007B4DBC" w:rsidRPr="002740E3">
        <w:rPr>
          <w:rFonts w:ascii="Arial" w:hAnsi="Arial"/>
          <w:caps w:val="0"/>
          <w:lang w:val="en-US"/>
        </w:rPr>
        <w:t xml:space="preserve"> – Country Strategy and Program Evaluation GPS</w:t>
      </w:r>
    </w:p>
    <w:p w:rsidR="0029461A" w:rsidRPr="002740E3" w:rsidRDefault="0029461A" w:rsidP="00816F56">
      <w:pPr>
        <w:pStyle w:val="ListParagraph"/>
        <w:ind w:left="0"/>
        <w:jc w:val="left"/>
        <w:rPr>
          <w:rFonts w:ascii="ChelthmITC Bk BT" w:eastAsia="Times New Roman" w:hAnsi="ChelthmITC Bk BT" w:cs="Arial"/>
          <w:color w:val="000000"/>
          <w:kern w:val="0"/>
          <w:sz w:val="20"/>
          <w:szCs w:val="20"/>
          <w:lang w:eastAsia="nl-NL"/>
        </w:rPr>
      </w:pPr>
    </w:p>
    <w:p w:rsidR="0029461A" w:rsidRPr="002740E3" w:rsidRDefault="0029461A" w:rsidP="00816F56">
      <w:pPr>
        <w:pStyle w:val="ListParagraph"/>
        <w:ind w:left="0"/>
        <w:jc w:val="left"/>
        <w:rPr>
          <w:rFonts w:eastAsia="Times New Roman" w:cs="Arial"/>
          <w:color w:val="000000"/>
          <w:kern w:val="0"/>
          <w:szCs w:val="22"/>
          <w:lang w:eastAsia="nl-NL"/>
        </w:rPr>
      </w:pPr>
      <w:r w:rsidRPr="002740E3">
        <w:rPr>
          <w:rFonts w:eastAsia="Times New Roman" w:cs="Arial"/>
          <w:bCs/>
          <w:color w:val="000000"/>
          <w:kern w:val="0"/>
          <w:szCs w:val="22"/>
          <w:lang w:eastAsia="nl-NL"/>
        </w:rPr>
        <w:t>ECG m</w:t>
      </w:r>
      <w:r w:rsidRPr="002740E3">
        <w:rPr>
          <w:rFonts w:eastAsia="Times New Roman" w:cs="Arial"/>
          <w:color w:val="000000"/>
          <w:kern w:val="0"/>
          <w:szCs w:val="22"/>
          <w:lang w:eastAsia="nl-NL"/>
        </w:rPr>
        <w:t>embers agree that periodic assessments will be undertaken to assess the extent to which the GPS are being applied. The GPS have been summarized in tabular form below to assist each participating MDBs in progress benchmarking.</w:t>
      </w:r>
      <w:r w:rsidRPr="002740E3">
        <w:rPr>
          <w:rStyle w:val="FootnoteReference"/>
          <w:rFonts w:eastAsia="Times New Roman" w:cs="Arial"/>
          <w:color w:val="000000"/>
          <w:kern w:val="0"/>
          <w:szCs w:val="22"/>
          <w:vertAlign w:val="baseline"/>
          <w:lang w:eastAsia="nl-NL"/>
        </w:rPr>
        <w:footnoteReference w:id="2"/>
      </w:r>
      <w:r w:rsidRPr="002740E3">
        <w:rPr>
          <w:rFonts w:eastAsia="Times New Roman" w:cs="Arial"/>
          <w:color w:val="000000"/>
          <w:kern w:val="0"/>
          <w:szCs w:val="22"/>
          <w:lang w:eastAsia="nl-NL"/>
        </w:rPr>
        <w:t xml:space="preserve"> Some time will be required to adjust member practices to GPS, and thereafter to conduct at least one CSPE under the new GPS’ regime. Benchmarking of MDBs against the CSPE GPS is under consideration. </w:t>
      </w:r>
    </w:p>
    <w:p w:rsidR="0029461A" w:rsidRPr="002740E3" w:rsidRDefault="0029461A" w:rsidP="00816F56">
      <w:pPr>
        <w:jc w:val="left"/>
        <w:rPr>
          <w:rFonts w:ascii="ChelthmITC Bk BT" w:hAnsi="ChelthmITC Bk BT" w:cs="Arial" w:hint="eastAsi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tblPr>
      <w:tblGrid>
        <w:gridCol w:w="1979"/>
        <w:gridCol w:w="5377"/>
        <w:gridCol w:w="998"/>
        <w:gridCol w:w="2760"/>
        <w:gridCol w:w="967"/>
        <w:gridCol w:w="1091"/>
      </w:tblGrid>
      <w:tr w:rsidR="0029461A" w:rsidRPr="002740E3" w:rsidTr="00CC12E7">
        <w:trPr>
          <w:tblHeader/>
        </w:trPr>
        <w:tc>
          <w:tcPr>
            <w:tcW w:w="0" w:type="auto"/>
            <w:vAlign w:val="center"/>
          </w:tcPr>
          <w:p w:rsidR="0029461A" w:rsidRPr="002740E3" w:rsidRDefault="0029461A" w:rsidP="00816F56">
            <w:pPr>
              <w:tabs>
                <w:tab w:val="center" w:pos="4320"/>
                <w:tab w:val="right" w:pos="8640"/>
              </w:tabs>
              <w:jc w:val="center"/>
              <w:rPr>
                <w:rFonts w:cs="Arial"/>
                <w:b/>
                <w:sz w:val="18"/>
                <w:szCs w:val="18"/>
              </w:rPr>
            </w:pPr>
            <w:r w:rsidRPr="002740E3">
              <w:rPr>
                <w:rFonts w:cs="Arial"/>
                <w:b/>
                <w:sz w:val="18"/>
                <w:szCs w:val="18"/>
              </w:rPr>
              <w:t>(GPS Category</w:t>
            </w:r>
          </w:p>
        </w:tc>
        <w:tc>
          <w:tcPr>
            <w:tcW w:w="0" w:type="auto"/>
            <w:vAlign w:val="center"/>
          </w:tcPr>
          <w:p w:rsidR="0029461A" w:rsidRPr="002740E3" w:rsidRDefault="0029461A" w:rsidP="00816F56">
            <w:pPr>
              <w:tabs>
                <w:tab w:val="center" w:pos="4320"/>
                <w:tab w:val="right" w:pos="8640"/>
              </w:tabs>
              <w:jc w:val="center"/>
              <w:rPr>
                <w:rFonts w:cs="Arial"/>
                <w:b/>
                <w:sz w:val="18"/>
                <w:szCs w:val="18"/>
              </w:rPr>
            </w:pPr>
            <w:r w:rsidRPr="002740E3">
              <w:rPr>
                <w:rFonts w:cs="Arial"/>
                <w:b/>
                <w:sz w:val="18"/>
                <w:szCs w:val="18"/>
              </w:rPr>
              <w:t>Core GPS Description</w:t>
            </w:r>
          </w:p>
        </w:tc>
        <w:tc>
          <w:tcPr>
            <w:tcW w:w="0" w:type="auto"/>
            <w:vAlign w:val="center"/>
          </w:tcPr>
          <w:p w:rsidR="0029461A" w:rsidRPr="002740E3" w:rsidRDefault="0029461A" w:rsidP="00611438">
            <w:pPr>
              <w:tabs>
                <w:tab w:val="center" w:pos="4320"/>
                <w:tab w:val="right" w:pos="8640"/>
              </w:tabs>
              <w:ind w:left="-127" w:right="-108" w:firstLine="127"/>
              <w:jc w:val="center"/>
              <w:rPr>
                <w:rFonts w:cs="Arial"/>
                <w:b/>
                <w:sz w:val="18"/>
                <w:szCs w:val="18"/>
              </w:rPr>
            </w:pPr>
            <w:r w:rsidRPr="002740E3">
              <w:rPr>
                <w:rFonts w:cs="Arial"/>
                <w:b/>
                <w:sz w:val="18"/>
                <w:szCs w:val="18"/>
              </w:rPr>
              <w:t>Degree of MDB Alignment</w:t>
            </w:r>
            <w:r w:rsidR="00611438" w:rsidRPr="002740E3">
              <w:rPr>
                <w:rStyle w:val="EndnoteReference"/>
                <w:rFonts w:cs="Arial"/>
                <w:b/>
                <w:sz w:val="18"/>
                <w:szCs w:val="18"/>
                <w:vertAlign w:val="baseline"/>
              </w:rPr>
              <w:endnoteReference w:id="2"/>
            </w:r>
          </w:p>
        </w:tc>
        <w:tc>
          <w:tcPr>
            <w:tcW w:w="0" w:type="auto"/>
            <w:vAlign w:val="center"/>
          </w:tcPr>
          <w:p w:rsidR="0029461A" w:rsidRPr="002740E3" w:rsidRDefault="0029461A" w:rsidP="00816F56">
            <w:pPr>
              <w:tabs>
                <w:tab w:val="center" w:pos="4320"/>
                <w:tab w:val="right" w:pos="8640"/>
              </w:tabs>
              <w:jc w:val="center"/>
              <w:rPr>
                <w:rFonts w:cs="Arial"/>
                <w:b/>
                <w:sz w:val="18"/>
                <w:szCs w:val="18"/>
              </w:rPr>
            </w:pPr>
            <w:r w:rsidRPr="002740E3">
              <w:rPr>
                <w:rFonts w:cs="Arial"/>
                <w:b/>
                <w:sz w:val="18"/>
                <w:szCs w:val="18"/>
              </w:rPr>
              <w:t>Optional GPS Description</w:t>
            </w:r>
          </w:p>
        </w:tc>
        <w:tc>
          <w:tcPr>
            <w:tcW w:w="0" w:type="auto"/>
            <w:vAlign w:val="center"/>
          </w:tcPr>
          <w:p w:rsidR="0029461A" w:rsidRPr="002740E3" w:rsidRDefault="0029461A" w:rsidP="00816F56">
            <w:pPr>
              <w:tabs>
                <w:tab w:val="center" w:pos="4320"/>
                <w:tab w:val="right" w:pos="8640"/>
              </w:tabs>
              <w:ind w:left="-108" w:right="-108"/>
              <w:jc w:val="center"/>
              <w:rPr>
                <w:rFonts w:cs="Arial"/>
                <w:b/>
                <w:sz w:val="18"/>
                <w:szCs w:val="18"/>
              </w:rPr>
            </w:pPr>
            <w:r w:rsidRPr="002740E3">
              <w:rPr>
                <w:rFonts w:cs="Arial"/>
                <w:b/>
                <w:sz w:val="18"/>
                <w:szCs w:val="18"/>
              </w:rPr>
              <w:t>Degree of MDB Alignment</w:t>
            </w:r>
          </w:p>
        </w:tc>
        <w:tc>
          <w:tcPr>
            <w:tcW w:w="0" w:type="auto"/>
            <w:vAlign w:val="center"/>
          </w:tcPr>
          <w:p w:rsidR="0029461A" w:rsidRPr="002740E3" w:rsidRDefault="0029461A" w:rsidP="00611438">
            <w:pPr>
              <w:tabs>
                <w:tab w:val="center" w:pos="4320"/>
                <w:tab w:val="right" w:pos="8640"/>
              </w:tabs>
              <w:jc w:val="center"/>
              <w:rPr>
                <w:rFonts w:cs="Arial"/>
                <w:b/>
                <w:sz w:val="18"/>
                <w:szCs w:val="18"/>
              </w:rPr>
            </w:pPr>
            <w:r w:rsidRPr="002740E3">
              <w:rPr>
                <w:rFonts w:cs="Arial"/>
                <w:b/>
                <w:sz w:val="18"/>
                <w:szCs w:val="18"/>
              </w:rPr>
              <w:t>Remarks</w:t>
            </w:r>
            <w:r w:rsidR="00611438" w:rsidRPr="002740E3">
              <w:rPr>
                <w:rStyle w:val="EndnoteReference"/>
                <w:rFonts w:cs="Arial"/>
                <w:b/>
                <w:sz w:val="18"/>
                <w:szCs w:val="18"/>
                <w:vertAlign w:val="baseline"/>
              </w:rPr>
              <w:endnoteReference w:id="3"/>
            </w:r>
          </w:p>
        </w:tc>
      </w:tr>
      <w:tr w:rsidR="0029461A" w:rsidRPr="002740E3" w:rsidTr="00CC12E7">
        <w:tc>
          <w:tcPr>
            <w:tcW w:w="0" w:type="auto"/>
            <w:gridSpan w:val="6"/>
          </w:tcPr>
          <w:p w:rsidR="0029461A" w:rsidRPr="002740E3" w:rsidRDefault="0029461A" w:rsidP="00816F56">
            <w:pPr>
              <w:tabs>
                <w:tab w:val="center" w:pos="4320"/>
                <w:tab w:val="right" w:pos="8640"/>
              </w:tabs>
              <w:jc w:val="left"/>
              <w:rPr>
                <w:rFonts w:cs="Arial"/>
                <w:sz w:val="18"/>
                <w:szCs w:val="18"/>
              </w:rPr>
            </w:pPr>
            <w:r w:rsidRPr="002740E3">
              <w:rPr>
                <w:rFonts w:cs="Arial"/>
                <w:b/>
                <w:sz w:val="18"/>
                <w:szCs w:val="18"/>
              </w:rPr>
              <w:t>A. Process-Related GPSs</w:t>
            </w:r>
          </w:p>
        </w:tc>
      </w:tr>
      <w:tr w:rsidR="0029461A" w:rsidRPr="002740E3" w:rsidTr="00CC12E7">
        <w:tc>
          <w:tcPr>
            <w:tcW w:w="0" w:type="auto"/>
          </w:tcPr>
          <w:p w:rsidR="0029461A" w:rsidRPr="002740E3" w:rsidRDefault="0029461A" w:rsidP="00816F56">
            <w:pPr>
              <w:tabs>
                <w:tab w:val="left" w:pos="450"/>
              </w:tabs>
              <w:jc w:val="left"/>
              <w:rPr>
                <w:rFonts w:cs="Arial"/>
                <w:sz w:val="18"/>
                <w:szCs w:val="18"/>
              </w:rPr>
            </w:pPr>
            <w:r w:rsidRPr="002740E3">
              <w:rPr>
                <w:rFonts w:cs="Arial"/>
                <w:sz w:val="18"/>
                <w:szCs w:val="18"/>
              </w:rPr>
              <w:t>A.1.</w:t>
            </w:r>
            <w:r w:rsidRPr="002740E3">
              <w:rPr>
                <w:rFonts w:cs="Arial"/>
                <w:sz w:val="18"/>
                <w:szCs w:val="18"/>
              </w:rPr>
              <w:tab/>
              <w:t>CSPE Goals, Objectives, Client Responsiveness, and Unit of Analysis</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 xml:space="preserve">Provide credible and useful information on the </w:t>
            </w:r>
            <w:r w:rsidRPr="002740E3">
              <w:rPr>
                <w:rFonts w:cs="Arial"/>
                <w:sz w:val="18"/>
                <w:szCs w:val="18"/>
                <w:lang w:eastAsia="nl-NL"/>
              </w:rPr>
              <w:t>MDB’s</w:t>
            </w:r>
            <w:r w:rsidRPr="002740E3">
              <w:rPr>
                <w:rFonts w:cs="Arial"/>
                <w:sz w:val="18"/>
                <w:szCs w:val="18"/>
              </w:rPr>
              <w:t xml:space="preserve"> performance at the country level</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(b)</w:t>
            </w:r>
            <w:r w:rsidRPr="002740E3">
              <w:rPr>
                <w:rFonts w:cs="Arial"/>
                <w:sz w:val="18"/>
                <w:szCs w:val="18"/>
              </w:rPr>
              <w:tab/>
              <w:t>Used for both accountability and lesson-learning purposes</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(c)</w:t>
            </w:r>
            <w:r w:rsidRPr="002740E3">
              <w:rPr>
                <w:rFonts w:cs="Arial"/>
                <w:sz w:val="18"/>
                <w:szCs w:val="18"/>
              </w:rPr>
              <w:tab/>
              <w:t>Designed to meet information requirements of main target clients</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(d)</w:t>
            </w:r>
            <w:r w:rsidRPr="002740E3">
              <w:rPr>
                <w:rFonts w:cs="Arial"/>
                <w:sz w:val="18"/>
                <w:szCs w:val="18"/>
              </w:rPr>
              <w:tab/>
              <w:t xml:space="preserve">Focus on evaluating the results of the </w:t>
            </w:r>
            <w:r w:rsidRPr="002740E3">
              <w:rPr>
                <w:rFonts w:cs="Arial"/>
                <w:sz w:val="18"/>
                <w:szCs w:val="18"/>
                <w:lang w:eastAsia="nl-NL"/>
              </w:rPr>
              <w:t>MDB’s</w:t>
            </w:r>
            <w:r w:rsidRPr="002740E3">
              <w:rPr>
                <w:rFonts w:cs="Arial"/>
                <w:sz w:val="18"/>
                <w:szCs w:val="18"/>
              </w:rPr>
              <w:t xml:space="preserve"> assistance, with the country strategy(ies) as the main reference point</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450"/>
              </w:tabs>
              <w:jc w:val="left"/>
              <w:rPr>
                <w:rFonts w:cs="Arial"/>
                <w:sz w:val="18"/>
                <w:szCs w:val="18"/>
              </w:rPr>
            </w:pPr>
            <w:r w:rsidRPr="002740E3">
              <w:rPr>
                <w:rFonts w:cs="Arial"/>
                <w:sz w:val="18"/>
                <w:szCs w:val="18"/>
              </w:rPr>
              <w:t>A.2.</w:t>
            </w:r>
            <w:r w:rsidRPr="002740E3">
              <w:rPr>
                <w:rFonts w:cs="Arial"/>
                <w:sz w:val="18"/>
                <w:szCs w:val="18"/>
              </w:rPr>
              <w:tab/>
              <w:t>Country Selection and Mutual Accountability</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 xml:space="preserve">Countries selected are those in which the findings and lessons will be most beneficial to the </w:t>
            </w:r>
            <w:r w:rsidRPr="002740E3">
              <w:rPr>
                <w:rFonts w:cs="Arial"/>
                <w:sz w:val="18"/>
                <w:szCs w:val="18"/>
                <w:lang w:eastAsia="nl-NL"/>
              </w:rPr>
              <w:t>MDB</w:t>
            </w:r>
            <w:r w:rsidRPr="002740E3">
              <w:rPr>
                <w:rFonts w:cs="Arial"/>
                <w:sz w:val="18"/>
                <w:szCs w:val="18"/>
              </w:rPr>
              <w:t xml:space="preserve"> and the country.</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(b)</w:t>
            </w:r>
            <w:r w:rsidRPr="002740E3">
              <w:rPr>
                <w:rFonts w:cs="Arial"/>
                <w:sz w:val="18"/>
                <w:szCs w:val="18"/>
              </w:rPr>
              <w:tab/>
              <w:t>Efforts made to reduce potential bottlenecks in undertaking joint MDB CSPEs</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(c)</w:t>
            </w:r>
            <w:r w:rsidRPr="002740E3">
              <w:rPr>
                <w:rFonts w:cs="Arial"/>
                <w:sz w:val="18"/>
                <w:szCs w:val="18"/>
              </w:rPr>
              <w:tab/>
              <w:t>Decision to pursue a multipartner CSPE made on a case-by-case basis</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49" w:hanging="249"/>
              <w:jc w:val="left"/>
              <w:rPr>
                <w:rFonts w:cs="Arial"/>
                <w:sz w:val="18"/>
                <w:szCs w:val="18"/>
              </w:rPr>
            </w:pPr>
            <w:r w:rsidRPr="002740E3">
              <w:rPr>
                <w:rFonts w:cs="Arial"/>
                <w:sz w:val="18"/>
                <w:szCs w:val="18"/>
              </w:rPr>
              <w:t>(a)</w:t>
            </w:r>
            <w:r w:rsidRPr="002740E3">
              <w:rPr>
                <w:rFonts w:cs="Arial"/>
                <w:sz w:val="18"/>
                <w:szCs w:val="18"/>
              </w:rPr>
              <w:tab/>
              <w:t>Covering all countries and treating all borrowers equally</w:t>
            </w:r>
          </w:p>
          <w:p w:rsidR="0029461A" w:rsidRPr="002740E3" w:rsidRDefault="0029461A" w:rsidP="00AC7889">
            <w:pPr>
              <w:tabs>
                <w:tab w:val="center" w:pos="4320"/>
                <w:tab w:val="right" w:pos="8640"/>
              </w:tabs>
              <w:ind w:left="249" w:hanging="249"/>
              <w:jc w:val="left"/>
              <w:rPr>
                <w:rFonts w:cs="Arial"/>
                <w:sz w:val="18"/>
                <w:szCs w:val="18"/>
              </w:rPr>
            </w:pPr>
            <w:r w:rsidRPr="002740E3">
              <w:rPr>
                <w:rFonts w:cs="Arial"/>
                <w:sz w:val="18"/>
                <w:szCs w:val="18"/>
              </w:rPr>
              <w:t>(b)</w:t>
            </w:r>
            <w:r w:rsidRPr="002740E3">
              <w:rPr>
                <w:rFonts w:cs="Arial"/>
                <w:sz w:val="18"/>
                <w:szCs w:val="18"/>
              </w:rPr>
              <w:tab/>
              <w:t>Multipartner CSPEs extending beyond the MDBs to include all sources of external assistance to a country encouraged</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center" w:pos="4320"/>
                <w:tab w:val="right" w:pos="8640"/>
              </w:tabs>
              <w:ind w:left="360" w:hanging="360"/>
              <w:jc w:val="left"/>
              <w:rPr>
                <w:rFonts w:cs="Arial"/>
                <w:sz w:val="18"/>
                <w:szCs w:val="18"/>
              </w:rPr>
            </w:pPr>
            <w:r w:rsidRPr="002740E3">
              <w:rPr>
                <w:rFonts w:cs="Arial"/>
                <w:sz w:val="18"/>
                <w:szCs w:val="18"/>
              </w:rPr>
              <w:t>A.3.</w:t>
            </w:r>
            <w:r w:rsidRPr="002740E3">
              <w:rPr>
                <w:rFonts w:cs="Arial"/>
                <w:sz w:val="18"/>
                <w:szCs w:val="18"/>
              </w:rPr>
              <w:tab/>
              <w:t>Timing</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CSPE timed to feed into the preparation and review of the MDB’s new country strategy</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49" w:hanging="249"/>
              <w:jc w:val="left"/>
              <w:rPr>
                <w:rFonts w:cs="Arial"/>
                <w:sz w:val="18"/>
                <w:szCs w:val="18"/>
              </w:rPr>
            </w:pPr>
            <w:r w:rsidRPr="002740E3">
              <w:rPr>
                <w:rFonts w:cs="Arial"/>
                <w:sz w:val="18"/>
                <w:szCs w:val="18"/>
              </w:rPr>
              <w:t>(a)</w:t>
            </w:r>
            <w:r w:rsidRPr="002740E3">
              <w:rPr>
                <w:rFonts w:cs="Arial"/>
                <w:sz w:val="18"/>
                <w:szCs w:val="18"/>
              </w:rPr>
              <w:tab/>
              <w:t>Could also be timed to contribute to strategic decision making of the government</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center" w:pos="4320"/>
                <w:tab w:val="right" w:pos="8640"/>
              </w:tabs>
              <w:ind w:left="360" w:hanging="360"/>
              <w:jc w:val="left"/>
              <w:rPr>
                <w:rFonts w:cs="Arial"/>
                <w:sz w:val="18"/>
                <w:szCs w:val="18"/>
              </w:rPr>
            </w:pPr>
            <w:r w:rsidRPr="002740E3">
              <w:rPr>
                <w:rFonts w:cs="Arial"/>
                <w:sz w:val="18"/>
                <w:szCs w:val="18"/>
              </w:rPr>
              <w:t>A.4.</w:t>
            </w:r>
            <w:r w:rsidRPr="002740E3">
              <w:rPr>
                <w:rFonts w:cs="Arial"/>
                <w:sz w:val="18"/>
                <w:szCs w:val="18"/>
              </w:rPr>
              <w:tab/>
              <w:t>Preparatory Steps</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Evaluations of key projects, programs, and technical assistance scheduled to precede the CSPE</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49" w:hanging="249"/>
              <w:jc w:val="left"/>
              <w:rPr>
                <w:rFonts w:cs="Arial"/>
                <w:sz w:val="18"/>
                <w:szCs w:val="18"/>
              </w:rPr>
            </w:pPr>
            <w:r w:rsidRPr="002740E3">
              <w:rPr>
                <w:rFonts w:cs="Arial"/>
                <w:sz w:val="18"/>
                <w:szCs w:val="18"/>
              </w:rPr>
              <w:t>(a)</w:t>
            </w:r>
            <w:r w:rsidRPr="002740E3">
              <w:rPr>
                <w:rFonts w:cs="Arial"/>
                <w:sz w:val="18"/>
                <w:szCs w:val="18"/>
              </w:rPr>
              <w:tab/>
              <w:t>Sector/thematic studies or impact assessments scheduled to precede a CSPE.</w:t>
            </w:r>
          </w:p>
          <w:p w:rsidR="0029461A" w:rsidRPr="002740E3" w:rsidRDefault="0029461A" w:rsidP="00816F56">
            <w:pPr>
              <w:tabs>
                <w:tab w:val="center" w:pos="4320"/>
                <w:tab w:val="right" w:pos="8640"/>
              </w:tabs>
              <w:ind w:left="249" w:hanging="249"/>
              <w:jc w:val="left"/>
              <w:rPr>
                <w:rFonts w:cs="Arial"/>
                <w:sz w:val="18"/>
                <w:szCs w:val="18"/>
              </w:rPr>
            </w:pPr>
            <w:r w:rsidRPr="002740E3">
              <w:rPr>
                <w:rFonts w:cs="Arial"/>
                <w:sz w:val="18"/>
                <w:szCs w:val="18"/>
              </w:rPr>
              <w:t>(b)</w:t>
            </w:r>
            <w:r w:rsidRPr="002740E3">
              <w:rPr>
                <w:rFonts w:cs="Arial"/>
                <w:sz w:val="18"/>
                <w:szCs w:val="18"/>
              </w:rPr>
              <w:tab/>
              <w:t xml:space="preserve">Application of the same </w:t>
            </w:r>
            <w:r w:rsidRPr="002740E3">
              <w:rPr>
                <w:rFonts w:cs="Arial"/>
                <w:sz w:val="18"/>
                <w:szCs w:val="18"/>
              </w:rPr>
              <w:lastRenderedPageBreak/>
              <w:t xml:space="preserve">evaluation criteria in sector/thematic studies as in the CSPE facilitates their use. </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center" w:pos="4320"/>
                <w:tab w:val="right" w:pos="8640"/>
              </w:tabs>
              <w:ind w:left="360" w:hanging="360"/>
              <w:jc w:val="left"/>
              <w:rPr>
                <w:rFonts w:cs="Arial"/>
                <w:sz w:val="18"/>
                <w:szCs w:val="18"/>
              </w:rPr>
            </w:pPr>
            <w:r w:rsidRPr="002740E3">
              <w:rPr>
                <w:rFonts w:cs="Arial"/>
                <w:sz w:val="18"/>
                <w:szCs w:val="18"/>
              </w:rPr>
              <w:lastRenderedPageBreak/>
              <w:t>A.5.</w:t>
            </w:r>
            <w:r w:rsidRPr="002740E3">
              <w:rPr>
                <w:rFonts w:cs="Arial"/>
                <w:sz w:val="18"/>
                <w:szCs w:val="18"/>
              </w:rPr>
              <w:tab/>
              <w:t>Coverage</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Coverage long enough to see results, but more emphasis put on the current strategy period</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(b)</w:t>
            </w:r>
            <w:r w:rsidRPr="002740E3">
              <w:rPr>
                <w:rFonts w:cs="Arial"/>
                <w:sz w:val="18"/>
                <w:szCs w:val="18"/>
              </w:rPr>
              <w:tab/>
              <w:t>Newly initiated, completed, and ongoing operations covered</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(c)</w:t>
            </w:r>
            <w:r w:rsidRPr="002740E3">
              <w:rPr>
                <w:rFonts w:cs="Arial"/>
                <w:sz w:val="18"/>
                <w:szCs w:val="18"/>
              </w:rPr>
              <w:tab/>
              <w:t xml:space="preserve">Full content of the </w:t>
            </w:r>
            <w:r w:rsidRPr="002740E3">
              <w:rPr>
                <w:rFonts w:cs="Arial"/>
                <w:sz w:val="18"/>
                <w:szCs w:val="18"/>
                <w:lang w:eastAsia="nl-NL"/>
              </w:rPr>
              <w:t>MDB’s</w:t>
            </w:r>
            <w:r w:rsidRPr="002740E3">
              <w:rPr>
                <w:rFonts w:cs="Arial"/>
                <w:sz w:val="18"/>
                <w:szCs w:val="18"/>
              </w:rPr>
              <w:t xml:space="preserve"> assistance covered</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(d)</w:t>
            </w:r>
            <w:r w:rsidRPr="002740E3">
              <w:rPr>
                <w:rFonts w:cs="Arial"/>
                <w:sz w:val="18"/>
                <w:szCs w:val="18"/>
              </w:rPr>
              <w:tab/>
              <w:t>Depth of coverage depends on client needs and those areas most likely to evoke lessons for future strategy</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(e)</w:t>
            </w:r>
            <w:r w:rsidRPr="002740E3">
              <w:rPr>
                <w:rFonts w:cs="Arial"/>
                <w:sz w:val="18"/>
                <w:szCs w:val="18"/>
              </w:rPr>
              <w:tab/>
              <w:t>For second- or third-generation CSPEs, previous CSPE findings summarized, and use of previous CSPE lessons and recommendations assessed</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(f)</w:t>
            </w:r>
            <w:r w:rsidRPr="002740E3">
              <w:rPr>
                <w:rFonts w:cs="Arial"/>
                <w:sz w:val="18"/>
                <w:szCs w:val="18"/>
              </w:rPr>
              <w:tab/>
              <w:t>Subsequent CSPEs will have an overlap in the period covered of a few years.</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(g)</w:t>
            </w:r>
            <w:r w:rsidRPr="002740E3">
              <w:rPr>
                <w:rFonts w:cs="Arial"/>
                <w:sz w:val="18"/>
                <w:szCs w:val="18"/>
              </w:rPr>
              <w:tab/>
              <w:t>CSPEs may have limited scope if the MDB’s role is minor, if there were few results, or if there is little likelihood of findings and lessons of broader impact.</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(h)</w:t>
            </w:r>
            <w:r w:rsidRPr="002740E3">
              <w:rPr>
                <w:rFonts w:cs="Arial"/>
                <w:sz w:val="18"/>
                <w:szCs w:val="18"/>
              </w:rPr>
              <w:tab/>
              <w:t>Completion reports of country strategies independently validated; if the completion and validation reports are comprehensive and apply CSPE criteria, they may serve as a limited-scope CSPE.</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22" w:hanging="222"/>
              <w:jc w:val="left"/>
              <w:rPr>
                <w:rFonts w:cs="Arial"/>
                <w:sz w:val="18"/>
                <w:szCs w:val="18"/>
              </w:rPr>
            </w:pPr>
            <w:r w:rsidRPr="002740E3">
              <w:rPr>
                <w:rFonts w:cs="Arial"/>
                <w:sz w:val="18"/>
                <w:szCs w:val="18"/>
              </w:rPr>
              <w:t>(a)In large country cases, a representative sample of assistance activities assessed</w:t>
            </w:r>
          </w:p>
          <w:p w:rsidR="0029461A" w:rsidRPr="002740E3" w:rsidRDefault="0029461A" w:rsidP="00816F56">
            <w:pPr>
              <w:tabs>
                <w:tab w:val="center" w:pos="4320"/>
                <w:tab w:val="right" w:pos="8640"/>
              </w:tabs>
              <w:ind w:left="222" w:hanging="222"/>
              <w:jc w:val="left"/>
              <w:rPr>
                <w:rFonts w:cs="Arial"/>
                <w:sz w:val="18"/>
                <w:szCs w:val="18"/>
              </w:rPr>
            </w:pPr>
            <w:r w:rsidRPr="002740E3">
              <w:rPr>
                <w:rFonts w:cs="Arial"/>
                <w:kern w:val="0"/>
                <w:sz w:val="18"/>
                <w:szCs w:val="18"/>
              </w:rPr>
              <w:t>(b)</w:t>
            </w:r>
            <w:r w:rsidRPr="002740E3">
              <w:rPr>
                <w:rFonts w:cs="Arial"/>
                <w:kern w:val="0"/>
                <w:sz w:val="18"/>
                <w:szCs w:val="18"/>
              </w:rPr>
              <w:tab/>
              <w:t>A limited-scope CSPE may also be needed to deliver evaluation findings to meet tight time-sensitive demands.</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450"/>
              </w:tabs>
              <w:jc w:val="left"/>
              <w:rPr>
                <w:rFonts w:cs="Arial"/>
                <w:sz w:val="18"/>
                <w:szCs w:val="18"/>
              </w:rPr>
            </w:pPr>
            <w:r w:rsidRPr="002740E3">
              <w:rPr>
                <w:rFonts w:cs="Arial"/>
                <w:sz w:val="18"/>
                <w:szCs w:val="18"/>
              </w:rPr>
              <w:t>A.6.</w:t>
            </w:r>
            <w:r w:rsidRPr="002740E3">
              <w:rPr>
                <w:rFonts w:cs="Arial"/>
                <w:sz w:val="18"/>
                <w:szCs w:val="18"/>
              </w:rPr>
              <w:tab/>
              <w:t xml:space="preserve">CSPE Approach Paper </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A CSPE approach (or position) paper prepared for each CSPE</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450"/>
              </w:tabs>
              <w:jc w:val="left"/>
              <w:rPr>
                <w:rFonts w:cs="Arial"/>
                <w:sz w:val="18"/>
                <w:szCs w:val="18"/>
              </w:rPr>
            </w:pPr>
            <w:r w:rsidRPr="002740E3">
              <w:rPr>
                <w:rFonts w:cs="Arial"/>
                <w:sz w:val="18"/>
                <w:szCs w:val="18"/>
              </w:rPr>
              <w:t>A.7.</w:t>
            </w:r>
            <w:r w:rsidRPr="002740E3">
              <w:rPr>
                <w:rFonts w:cs="Arial"/>
                <w:sz w:val="18"/>
                <w:szCs w:val="18"/>
              </w:rPr>
              <w:tab/>
              <w:t>CSPE Preparation Period</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 xml:space="preserve">A full CSPE implemented over </w:t>
            </w:r>
            <w:r w:rsidRPr="002740E3">
              <w:rPr>
                <w:rFonts w:cs="Arial"/>
                <w:sz w:val="18"/>
                <w:szCs w:val="18"/>
              </w:rPr>
              <w:br/>
              <w:t>6–12 months</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center" w:pos="4320"/>
                <w:tab w:val="right" w:pos="8640"/>
              </w:tabs>
              <w:ind w:left="360" w:hanging="360"/>
              <w:jc w:val="left"/>
              <w:rPr>
                <w:rFonts w:cs="Arial"/>
                <w:sz w:val="18"/>
                <w:szCs w:val="18"/>
              </w:rPr>
            </w:pPr>
            <w:r w:rsidRPr="002740E3">
              <w:rPr>
                <w:rFonts w:cs="Arial"/>
                <w:sz w:val="18"/>
                <w:szCs w:val="18"/>
              </w:rPr>
              <w:t>A.8.</w:t>
            </w:r>
            <w:r w:rsidRPr="002740E3">
              <w:rPr>
                <w:rFonts w:cs="Arial"/>
                <w:sz w:val="18"/>
                <w:szCs w:val="18"/>
              </w:rPr>
              <w:tab/>
              <w:t>Staffing</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 xml:space="preserve">CSPE teams headed by an experienced evaluator with sufficient experience in </w:t>
            </w:r>
            <w:r w:rsidRPr="002740E3">
              <w:rPr>
                <w:rFonts w:cs="Arial"/>
                <w:sz w:val="18"/>
                <w:szCs w:val="18"/>
                <w:lang w:eastAsia="nl-NL"/>
              </w:rPr>
              <w:t>MDB</w:t>
            </w:r>
            <w:r w:rsidRPr="002740E3">
              <w:rPr>
                <w:rFonts w:cs="Arial"/>
                <w:sz w:val="18"/>
                <w:szCs w:val="18"/>
              </w:rPr>
              <w:t xml:space="preserve"> operations</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76" w:hanging="276"/>
              <w:jc w:val="left"/>
              <w:rPr>
                <w:rFonts w:cs="Arial"/>
                <w:sz w:val="18"/>
                <w:szCs w:val="18"/>
              </w:rPr>
            </w:pPr>
            <w:r w:rsidRPr="002740E3">
              <w:rPr>
                <w:rFonts w:cs="Arial"/>
                <w:sz w:val="18"/>
                <w:szCs w:val="18"/>
              </w:rPr>
              <w:t>(a)</w:t>
            </w:r>
            <w:r w:rsidRPr="002740E3">
              <w:rPr>
                <w:rFonts w:cs="Arial"/>
                <w:sz w:val="18"/>
                <w:szCs w:val="18"/>
              </w:rPr>
              <w:tab/>
              <w:t>A multidisciplinary team engaged to undertake the CSPE</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center" w:pos="4320"/>
                <w:tab w:val="right" w:pos="8640"/>
              </w:tabs>
              <w:ind w:left="360" w:hanging="360"/>
              <w:jc w:val="left"/>
              <w:rPr>
                <w:rFonts w:cs="Arial"/>
                <w:sz w:val="18"/>
                <w:szCs w:val="18"/>
              </w:rPr>
            </w:pPr>
            <w:r w:rsidRPr="002740E3">
              <w:rPr>
                <w:rFonts w:cs="Arial"/>
                <w:sz w:val="18"/>
                <w:szCs w:val="18"/>
              </w:rPr>
              <w:t>A.9.</w:t>
            </w:r>
            <w:r w:rsidRPr="002740E3">
              <w:rPr>
                <w:rFonts w:cs="Arial"/>
                <w:sz w:val="18"/>
                <w:szCs w:val="18"/>
              </w:rPr>
              <w:tab/>
              <w:t>Guidelines</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Each MDB will have CSPE guidelines that set out CSPE goals and objectives, methods, evaluative criteria, evaluation questions, procedures, reporting formats, quality control processes, and outreach and dissemination arrangements.</w:t>
            </w:r>
          </w:p>
          <w:p w:rsidR="0029461A" w:rsidRPr="002740E3" w:rsidRDefault="0029461A" w:rsidP="00816F56">
            <w:pPr>
              <w:tabs>
                <w:tab w:val="center" w:pos="4320"/>
                <w:tab w:val="right" w:pos="8640"/>
              </w:tabs>
              <w:ind w:left="282" w:right="-26" w:hanging="282"/>
              <w:jc w:val="left"/>
              <w:rPr>
                <w:rFonts w:cs="Arial"/>
                <w:sz w:val="18"/>
                <w:szCs w:val="18"/>
              </w:rPr>
            </w:pPr>
            <w:r w:rsidRPr="002740E3">
              <w:rPr>
                <w:rFonts w:cs="Arial"/>
                <w:sz w:val="18"/>
                <w:szCs w:val="18"/>
              </w:rPr>
              <w:t>(b)</w:t>
            </w:r>
            <w:r w:rsidRPr="002740E3">
              <w:rPr>
                <w:rFonts w:cs="Arial"/>
                <w:sz w:val="18"/>
                <w:szCs w:val="18"/>
              </w:rPr>
              <w:tab/>
              <w:t>Quality control procedures will ensure that guidelines are followed.</w:t>
            </w:r>
          </w:p>
          <w:p w:rsidR="0029461A" w:rsidRPr="002740E3" w:rsidRDefault="0029461A" w:rsidP="00AC7889">
            <w:pPr>
              <w:tabs>
                <w:tab w:val="center" w:pos="4320"/>
                <w:tab w:val="right" w:pos="8640"/>
              </w:tabs>
              <w:ind w:left="282" w:hanging="282"/>
              <w:jc w:val="left"/>
              <w:rPr>
                <w:rFonts w:cs="Arial"/>
                <w:sz w:val="18"/>
                <w:szCs w:val="18"/>
              </w:rPr>
            </w:pPr>
            <w:r w:rsidRPr="002740E3">
              <w:rPr>
                <w:rFonts w:cs="Arial"/>
                <w:sz w:val="18"/>
                <w:szCs w:val="18"/>
              </w:rPr>
              <w:t>(c)</w:t>
            </w:r>
            <w:r w:rsidRPr="002740E3">
              <w:rPr>
                <w:rFonts w:cs="Arial"/>
                <w:sz w:val="18"/>
                <w:szCs w:val="18"/>
              </w:rPr>
              <w:tab/>
              <w:t>While guidelines will be adhered to, the actual methods, scope, and approach may be tailored to the country setting.</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gridSpan w:val="6"/>
          </w:tcPr>
          <w:p w:rsidR="0029461A" w:rsidRPr="002740E3" w:rsidRDefault="0029461A" w:rsidP="00816F56">
            <w:pPr>
              <w:tabs>
                <w:tab w:val="center" w:pos="4320"/>
                <w:tab w:val="right" w:pos="8640"/>
              </w:tabs>
              <w:jc w:val="left"/>
              <w:rPr>
                <w:rFonts w:cs="Arial"/>
                <w:sz w:val="18"/>
                <w:szCs w:val="18"/>
              </w:rPr>
            </w:pPr>
            <w:r w:rsidRPr="002740E3">
              <w:rPr>
                <w:rFonts w:cs="Arial"/>
                <w:b/>
                <w:sz w:val="18"/>
                <w:szCs w:val="18"/>
              </w:rPr>
              <w:t>B. Methodology-Related GPS</w:t>
            </w:r>
          </w:p>
        </w:tc>
      </w:tr>
      <w:tr w:rsidR="0029461A" w:rsidRPr="002740E3" w:rsidTr="00CC12E7">
        <w:tc>
          <w:tcPr>
            <w:tcW w:w="0" w:type="auto"/>
            <w:gridSpan w:val="6"/>
          </w:tcPr>
          <w:p w:rsidR="0029461A" w:rsidRPr="002740E3" w:rsidRDefault="0029461A" w:rsidP="00816F56">
            <w:pPr>
              <w:tabs>
                <w:tab w:val="center" w:pos="4320"/>
                <w:tab w:val="right" w:pos="8640"/>
              </w:tabs>
              <w:jc w:val="left"/>
              <w:rPr>
                <w:rFonts w:cs="Arial"/>
                <w:sz w:val="18"/>
                <w:szCs w:val="18"/>
              </w:rPr>
            </w:pPr>
            <w:r w:rsidRPr="002740E3">
              <w:rPr>
                <w:rFonts w:cs="Arial"/>
                <w:i/>
                <w:sz w:val="18"/>
                <w:szCs w:val="18"/>
              </w:rPr>
              <w:lastRenderedPageBreak/>
              <w:t xml:space="preserve">B.1. </w:t>
            </w:r>
            <w:r w:rsidRPr="002740E3">
              <w:rPr>
                <w:rFonts w:cs="Arial"/>
                <w:sz w:val="18"/>
                <w:szCs w:val="18"/>
              </w:rPr>
              <w:t>CSPE Methods and Approaches</w:t>
            </w:r>
          </w:p>
        </w:tc>
      </w:tr>
      <w:tr w:rsidR="0029461A" w:rsidRPr="002740E3" w:rsidTr="00CC12E7">
        <w:tc>
          <w:tcPr>
            <w:tcW w:w="0" w:type="auto"/>
          </w:tcPr>
          <w:p w:rsidR="0029461A" w:rsidRPr="002740E3" w:rsidRDefault="0029461A" w:rsidP="00816F56">
            <w:pPr>
              <w:tabs>
                <w:tab w:val="right" w:pos="8640"/>
              </w:tabs>
              <w:ind w:left="441" w:hanging="441"/>
              <w:jc w:val="left"/>
              <w:rPr>
                <w:rFonts w:cs="Arial"/>
                <w:sz w:val="18"/>
                <w:szCs w:val="18"/>
              </w:rPr>
            </w:pPr>
            <w:r w:rsidRPr="002740E3">
              <w:rPr>
                <w:rFonts w:cs="Arial"/>
                <w:i/>
                <w:sz w:val="18"/>
                <w:szCs w:val="18"/>
              </w:rPr>
              <w:t>Overview</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 xml:space="preserve">CSPE methods include steps to make the causal model explicit in the country strategy, analysis of country context, assessment of the validity of the </w:t>
            </w:r>
            <w:r w:rsidRPr="002740E3">
              <w:rPr>
                <w:rFonts w:cs="Arial"/>
                <w:sz w:val="18"/>
                <w:szCs w:val="18"/>
                <w:lang w:eastAsia="nl-NL"/>
              </w:rPr>
              <w:t>MDB</w:t>
            </w:r>
            <w:r w:rsidRPr="002740E3">
              <w:rPr>
                <w:rFonts w:cs="Arial"/>
                <w:sz w:val="18"/>
                <w:szCs w:val="18"/>
              </w:rPr>
              <w:t>’s diagnosis, and analysis of the strategy and program relevance in design and delivery.</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(b)</w:t>
            </w:r>
            <w:r w:rsidRPr="002740E3">
              <w:rPr>
                <w:rFonts w:cs="Arial"/>
                <w:sz w:val="18"/>
                <w:szCs w:val="18"/>
              </w:rPr>
              <w:tab/>
              <w:t>Top-down, bottom-up, and attribution-cum-contribution assessments used to assemble information on performance in achieving strategic objectives</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(c)</w:t>
            </w:r>
            <w:r w:rsidRPr="002740E3">
              <w:rPr>
                <w:rFonts w:cs="Arial"/>
                <w:sz w:val="18"/>
                <w:szCs w:val="18"/>
              </w:rPr>
              <w:tab/>
              <w:t>Evidence base analyzed to identify performance determinants</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(d)</w:t>
            </w:r>
            <w:r w:rsidRPr="002740E3">
              <w:rPr>
                <w:rFonts w:cs="Arial"/>
                <w:sz w:val="18"/>
                <w:szCs w:val="18"/>
              </w:rPr>
              <w:tab/>
              <w:t>Evaluation criteria applied to assess performance in multiple dimensions</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(e)</w:t>
            </w:r>
            <w:r w:rsidRPr="002740E3">
              <w:rPr>
                <w:rFonts w:cs="Arial"/>
                <w:sz w:val="18"/>
                <w:szCs w:val="18"/>
              </w:rPr>
              <w:tab/>
              <w:t>Findings and lessons drawn, and future-oriented recommendations provided</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right" w:pos="8640"/>
              </w:tabs>
              <w:ind w:left="441" w:hanging="441"/>
              <w:jc w:val="left"/>
              <w:rPr>
                <w:rFonts w:cs="Arial"/>
                <w:i/>
                <w:sz w:val="18"/>
                <w:szCs w:val="18"/>
              </w:rPr>
            </w:pPr>
          </w:p>
        </w:tc>
        <w:tc>
          <w:tcPr>
            <w:tcW w:w="0" w:type="auto"/>
          </w:tcPr>
          <w:p w:rsidR="0029461A" w:rsidRPr="002740E3" w:rsidRDefault="0029461A" w:rsidP="00AC7889">
            <w:pPr>
              <w:tabs>
                <w:tab w:val="center" w:pos="4320"/>
                <w:tab w:val="right" w:pos="8640"/>
              </w:tabs>
              <w:ind w:left="282" w:hanging="282"/>
              <w:jc w:val="left"/>
              <w:rPr>
                <w:rFonts w:cs="Arial"/>
                <w:sz w:val="18"/>
                <w:szCs w:val="18"/>
              </w:rPr>
            </w:pPr>
            <w:r w:rsidRPr="002740E3">
              <w:rPr>
                <w:rFonts w:cs="Arial"/>
                <w:sz w:val="18"/>
                <w:szCs w:val="18"/>
              </w:rPr>
              <w:t>(f)</w:t>
            </w:r>
            <w:r w:rsidRPr="002740E3">
              <w:rPr>
                <w:rFonts w:cs="Arial"/>
                <w:sz w:val="18"/>
                <w:szCs w:val="18"/>
              </w:rPr>
              <w:tab/>
              <w:t>Methods explained in the CSPE report</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center" w:pos="4320"/>
                <w:tab w:val="right" w:pos="8640"/>
              </w:tabs>
              <w:ind w:left="441" w:hanging="441"/>
              <w:jc w:val="left"/>
              <w:rPr>
                <w:rFonts w:cs="Arial"/>
                <w:sz w:val="18"/>
                <w:szCs w:val="18"/>
              </w:rPr>
            </w:pPr>
            <w:r w:rsidRPr="002740E3">
              <w:rPr>
                <w:rFonts w:cs="Arial"/>
                <w:i/>
                <w:sz w:val="18"/>
                <w:szCs w:val="18"/>
              </w:rPr>
              <w:t>Evaluation Questions</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General and country-specific evaluation questions posed to guide the assessment</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(b)</w:t>
            </w:r>
            <w:r w:rsidRPr="002740E3">
              <w:rPr>
                <w:rFonts w:cs="Arial"/>
                <w:sz w:val="18"/>
                <w:szCs w:val="18"/>
              </w:rPr>
              <w:tab/>
              <w:t>Evaluation questions documented in the CSPE report</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center" w:pos="4320"/>
                <w:tab w:val="right" w:pos="8640"/>
              </w:tabs>
              <w:ind w:left="441" w:hanging="441"/>
              <w:jc w:val="left"/>
              <w:rPr>
                <w:rFonts w:cs="Arial"/>
                <w:sz w:val="18"/>
                <w:szCs w:val="18"/>
              </w:rPr>
            </w:pPr>
            <w:r w:rsidRPr="002740E3">
              <w:rPr>
                <w:rFonts w:cs="Arial"/>
                <w:i/>
                <w:sz w:val="18"/>
                <w:szCs w:val="18"/>
              </w:rPr>
              <w:t>Counterfactuals</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right" w:pos="8640"/>
              </w:tabs>
              <w:ind w:left="276" w:right="-72" w:hanging="276"/>
              <w:jc w:val="left"/>
              <w:rPr>
                <w:rFonts w:cs="Arial"/>
                <w:sz w:val="18"/>
                <w:szCs w:val="18"/>
              </w:rPr>
            </w:pPr>
            <w:r w:rsidRPr="002740E3">
              <w:rPr>
                <w:rFonts w:cs="Arial"/>
                <w:sz w:val="18"/>
                <w:szCs w:val="18"/>
              </w:rPr>
              <w:t>(a)</w:t>
            </w:r>
            <w:r w:rsidRPr="002740E3">
              <w:rPr>
                <w:rFonts w:cs="Arial"/>
                <w:sz w:val="18"/>
                <w:szCs w:val="18"/>
              </w:rPr>
              <w:tab/>
              <w:t>Counterfactuals should be used only when they are possible and defensible.</w:t>
            </w:r>
          </w:p>
          <w:p w:rsidR="0029461A" w:rsidRPr="002740E3" w:rsidRDefault="0029461A" w:rsidP="00AC7889">
            <w:pPr>
              <w:tabs>
                <w:tab w:val="right" w:pos="8640"/>
              </w:tabs>
              <w:ind w:left="276" w:right="-72" w:hanging="276"/>
              <w:jc w:val="left"/>
              <w:rPr>
                <w:rFonts w:cs="Arial"/>
                <w:sz w:val="18"/>
                <w:szCs w:val="18"/>
              </w:rPr>
            </w:pPr>
            <w:r w:rsidRPr="002740E3">
              <w:rPr>
                <w:rFonts w:cs="Arial"/>
                <w:sz w:val="18"/>
                <w:szCs w:val="18"/>
              </w:rPr>
              <w:t>(b)</w:t>
            </w:r>
            <w:r w:rsidRPr="002740E3">
              <w:rPr>
                <w:rFonts w:cs="Arial"/>
                <w:sz w:val="18"/>
                <w:szCs w:val="18"/>
              </w:rPr>
              <w:tab/>
              <w:t>Counterfactuals can be proxied through comparisons with similar countries, examination of those parts of the program for which a counterfactual can be more clearly identified, or for those parts of the program for which prior impact evaluations have been conducted.</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rPr>
          <w:trHeight w:val="1422"/>
        </w:trPr>
        <w:tc>
          <w:tcPr>
            <w:tcW w:w="0" w:type="auto"/>
          </w:tcPr>
          <w:p w:rsidR="0029461A" w:rsidRPr="002740E3" w:rsidRDefault="0029461A" w:rsidP="00816F56">
            <w:pPr>
              <w:tabs>
                <w:tab w:val="center" w:pos="4320"/>
                <w:tab w:val="right" w:pos="8640"/>
              </w:tabs>
              <w:jc w:val="left"/>
              <w:rPr>
                <w:rFonts w:cs="Arial"/>
                <w:sz w:val="18"/>
                <w:szCs w:val="18"/>
              </w:rPr>
            </w:pPr>
            <w:r w:rsidRPr="002740E3">
              <w:rPr>
                <w:rFonts w:cs="Arial"/>
                <w:i/>
                <w:sz w:val="18"/>
                <w:szCs w:val="18"/>
              </w:rPr>
              <w:lastRenderedPageBreak/>
              <w:t>Attribution and Contribution</w:t>
            </w:r>
            <w:r w:rsidRPr="002740E3">
              <w:rPr>
                <w:rFonts w:cs="Arial"/>
                <w:sz w:val="18"/>
                <w:szCs w:val="18"/>
              </w:rPr>
              <w:t xml:space="preserve"> </w:t>
            </w:r>
          </w:p>
        </w:tc>
        <w:tc>
          <w:tcPr>
            <w:tcW w:w="0" w:type="auto"/>
          </w:tcPr>
          <w:p w:rsidR="0029461A" w:rsidRPr="002740E3" w:rsidRDefault="0029461A" w:rsidP="00816F56">
            <w:pPr>
              <w:pStyle w:val="ListParagraph"/>
              <w:numPr>
                <w:ilvl w:val="4"/>
                <w:numId w:val="2"/>
              </w:numPr>
              <w:tabs>
                <w:tab w:val="center" w:pos="4320"/>
                <w:tab w:val="right" w:pos="8640"/>
              </w:tabs>
              <w:jc w:val="left"/>
              <w:rPr>
                <w:rFonts w:cs="Arial"/>
                <w:sz w:val="18"/>
                <w:szCs w:val="18"/>
              </w:rPr>
            </w:pPr>
            <w:r w:rsidRPr="002740E3">
              <w:rPr>
                <w:rFonts w:cs="Arial"/>
                <w:sz w:val="18"/>
                <w:szCs w:val="18"/>
              </w:rPr>
              <w:t xml:space="preserve">Since formal attribution is difficult to determine, assessment of program results will focus on determining whether the </w:t>
            </w:r>
            <w:r w:rsidRPr="002740E3">
              <w:rPr>
                <w:rFonts w:cs="Arial"/>
                <w:sz w:val="18"/>
                <w:szCs w:val="18"/>
                <w:lang w:eastAsia="nl-NL"/>
              </w:rPr>
              <w:t>MDB</w:t>
            </w:r>
            <w:r w:rsidRPr="002740E3">
              <w:rPr>
                <w:rFonts w:cs="Arial"/>
                <w:sz w:val="18"/>
                <w:szCs w:val="18"/>
              </w:rPr>
              <w:t xml:space="preserve"> has made a contribution to key results or outcomes, and identifying the main drivers of the outcomes.</w:t>
            </w:r>
          </w:p>
          <w:p w:rsidR="0029461A" w:rsidRPr="002740E3" w:rsidRDefault="0029461A" w:rsidP="00AC7889">
            <w:pPr>
              <w:pStyle w:val="ListParagraph"/>
              <w:tabs>
                <w:tab w:val="center" w:pos="4320"/>
                <w:tab w:val="right" w:pos="8640"/>
              </w:tabs>
              <w:ind w:left="0"/>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right" w:pos="8640"/>
              </w:tabs>
              <w:ind w:left="267" w:right="-90" w:hanging="267"/>
              <w:jc w:val="left"/>
              <w:rPr>
                <w:rFonts w:cs="Arial"/>
                <w:sz w:val="18"/>
                <w:szCs w:val="18"/>
              </w:rPr>
            </w:pPr>
            <w:r w:rsidRPr="002740E3">
              <w:rPr>
                <w:rFonts w:cs="Arial"/>
                <w:sz w:val="18"/>
                <w:szCs w:val="18"/>
              </w:rPr>
              <w:t>(a)</w:t>
            </w:r>
            <w:r w:rsidRPr="002740E3">
              <w:rPr>
                <w:rFonts w:cs="Arial"/>
                <w:sz w:val="18"/>
                <w:szCs w:val="18"/>
              </w:rPr>
              <w:tab/>
              <w:t>To characterize the nature of the MDB’s contribution to results, the extent to which its assistance delivered additional value beyond the financing provided will be assessed.</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center" w:pos="4320"/>
                <w:tab w:val="right" w:pos="8640"/>
              </w:tabs>
              <w:ind w:left="441" w:hanging="441"/>
              <w:jc w:val="left"/>
              <w:rPr>
                <w:rFonts w:cs="Arial"/>
                <w:sz w:val="18"/>
                <w:szCs w:val="18"/>
              </w:rPr>
            </w:pPr>
            <w:r w:rsidRPr="002740E3">
              <w:rPr>
                <w:rFonts w:cs="Arial"/>
                <w:sz w:val="18"/>
                <w:szCs w:val="18"/>
              </w:rPr>
              <w:t xml:space="preserve"> </w:t>
            </w:r>
            <w:r w:rsidRPr="002740E3">
              <w:rPr>
                <w:rFonts w:cs="Arial"/>
                <w:i/>
                <w:sz w:val="18"/>
                <w:szCs w:val="18"/>
              </w:rPr>
              <w:t>Evaluability</w:t>
            </w:r>
          </w:p>
        </w:tc>
        <w:tc>
          <w:tcPr>
            <w:tcW w:w="0" w:type="auto"/>
          </w:tcPr>
          <w:p w:rsidR="0029461A" w:rsidRPr="002740E3" w:rsidRDefault="0029461A" w:rsidP="00816F56">
            <w:pPr>
              <w:tabs>
                <w:tab w:val="right" w:pos="8640"/>
              </w:tabs>
              <w:ind w:left="264" w:right="-89" w:hanging="264"/>
              <w:jc w:val="left"/>
              <w:rPr>
                <w:rFonts w:cs="Arial"/>
                <w:sz w:val="18"/>
                <w:szCs w:val="18"/>
              </w:rPr>
            </w:pPr>
            <w:r w:rsidRPr="002740E3">
              <w:rPr>
                <w:rFonts w:cs="Arial"/>
                <w:sz w:val="18"/>
                <w:szCs w:val="18"/>
              </w:rPr>
              <w:t>(a)</w:t>
            </w:r>
            <w:r w:rsidRPr="002740E3">
              <w:rPr>
                <w:rFonts w:cs="Arial"/>
                <w:sz w:val="18"/>
                <w:szCs w:val="18"/>
              </w:rPr>
              <w:tab/>
              <w:t xml:space="preserve">CSPE includes an assessment of the evaluability of the </w:t>
            </w:r>
            <w:r w:rsidRPr="002740E3">
              <w:rPr>
                <w:rFonts w:cs="Arial"/>
                <w:sz w:val="18"/>
                <w:szCs w:val="18"/>
                <w:lang w:eastAsia="nl-NL"/>
              </w:rPr>
              <w:t>MDB</w:t>
            </w:r>
            <w:r w:rsidRPr="002740E3">
              <w:rPr>
                <w:rFonts w:cs="Arial"/>
                <w:sz w:val="18"/>
                <w:szCs w:val="18"/>
              </w:rPr>
              <w:t>’s strategy and program of assistance.</w:t>
            </w:r>
          </w:p>
          <w:p w:rsidR="0029461A" w:rsidRPr="002740E3" w:rsidRDefault="0029461A" w:rsidP="00816F56">
            <w:pPr>
              <w:tabs>
                <w:tab w:val="right" w:pos="8640"/>
              </w:tabs>
              <w:ind w:left="264" w:right="-89" w:hanging="264"/>
              <w:jc w:val="left"/>
              <w:rPr>
                <w:rFonts w:cs="Arial"/>
                <w:sz w:val="18"/>
                <w:szCs w:val="18"/>
              </w:rPr>
            </w:pPr>
            <w:r w:rsidRPr="002740E3">
              <w:rPr>
                <w:rFonts w:cs="Arial"/>
                <w:sz w:val="18"/>
                <w:szCs w:val="18"/>
              </w:rPr>
              <w:t>(b) Evaluability constraints overcome by reconstructing the program logic, retrofitting results frameworks, drawing on available information sources, and collecting performance information</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76" w:hanging="276"/>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390"/>
              </w:tabs>
              <w:jc w:val="left"/>
              <w:rPr>
                <w:rFonts w:cs="Arial"/>
                <w:sz w:val="18"/>
                <w:szCs w:val="18"/>
              </w:rPr>
            </w:pPr>
            <w:r w:rsidRPr="002740E3">
              <w:rPr>
                <w:rFonts w:cs="Arial"/>
                <w:i/>
                <w:sz w:val="18"/>
                <w:szCs w:val="18"/>
              </w:rPr>
              <w:t>Multiple Evidence Sources</w:t>
            </w:r>
          </w:p>
        </w:tc>
        <w:tc>
          <w:tcPr>
            <w:tcW w:w="0" w:type="auto"/>
          </w:tcPr>
          <w:p w:rsidR="0029461A" w:rsidRPr="002740E3" w:rsidRDefault="0029461A" w:rsidP="00AC7889">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CSPE draws on the widest possible breadth of primary and secondary sources of information, and bases findings on information that has been successfully validated from multiple sources.</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pStyle w:val="ListParagraph"/>
              <w:numPr>
                <w:ilvl w:val="0"/>
                <w:numId w:val="3"/>
              </w:numPr>
              <w:tabs>
                <w:tab w:val="center" w:pos="4320"/>
                <w:tab w:val="right" w:pos="8640"/>
              </w:tabs>
              <w:jc w:val="left"/>
              <w:rPr>
                <w:rFonts w:cs="Arial"/>
                <w:sz w:val="18"/>
                <w:szCs w:val="18"/>
              </w:rPr>
            </w:pPr>
            <w:r w:rsidRPr="002740E3">
              <w:rPr>
                <w:rFonts w:cs="Arial"/>
                <w:sz w:val="18"/>
                <w:szCs w:val="18"/>
              </w:rPr>
              <w:t>Use of client perception surveys can provide evidence about the MDB’s performance.</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390"/>
              </w:tabs>
              <w:jc w:val="left"/>
              <w:rPr>
                <w:rFonts w:cs="Arial"/>
                <w:sz w:val="18"/>
                <w:szCs w:val="18"/>
              </w:rPr>
            </w:pPr>
            <w:r w:rsidRPr="002740E3">
              <w:rPr>
                <w:rFonts w:cs="Arial"/>
                <w:i/>
                <w:sz w:val="18"/>
                <w:szCs w:val="18"/>
              </w:rPr>
              <w:t>Client Participation</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Participation of key stakeholders in the CSPE process encouraged</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center" w:pos="4320"/>
                <w:tab w:val="right" w:pos="8640"/>
              </w:tabs>
              <w:ind w:left="441" w:hanging="441"/>
              <w:jc w:val="left"/>
              <w:rPr>
                <w:rFonts w:cs="Arial"/>
                <w:sz w:val="18"/>
                <w:szCs w:val="18"/>
              </w:rPr>
            </w:pPr>
            <w:r w:rsidRPr="002740E3">
              <w:rPr>
                <w:rFonts w:cs="Arial"/>
                <w:i/>
                <w:sz w:val="18"/>
                <w:szCs w:val="18"/>
              </w:rPr>
              <w:t>Disclaimers</w:t>
            </w:r>
          </w:p>
        </w:tc>
        <w:tc>
          <w:tcPr>
            <w:tcW w:w="0" w:type="auto"/>
          </w:tcPr>
          <w:p w:rsidR="0029461A" w:rsidRPr="002740E3" w:rsidRDefault="0029461A" w:rsidP="00816F56">
            <w:pPr>
              <w:tabs>
                <w:tab w:val="center" w:pos="4320"/>
                <w:tab w:val="right" w:pos="8640"/>
              </w:tabs>
              <w:ind w:left="282" w:hanging="282"/>
              <w:jc w:val="left"/>
              <w:rPr>
                <w:rFonts w:cs="Arial"/>
                <w:kern w:val="0"/>
                <w:sz w:val="18"/>
                <w:szCs w:val="18"/>
                <w:lang w:eastAsia="nl-NL"/>
              </w:rPr>
            </w:pPr>
            <w:r w:rsidRPr="002740E3">
              <w:rPr>
                <w:rFonts w:cs="Arial"/>
                <w:bCs/>
                <w:kern w:val="0"/>
                <w:sz w:val="18"/>
                <w:szCs w:val="18"/>
                <w:lang w:eastAsia="nl-NL"/>
              </w:rPr>
              <w:t>(a)</w:t>
            </w:r>
            <w:r w:rsidRPr="002740E3">
              <w:rPr>
                <w:rFonts w:cs="Arial"/>
                <w:bCs/>
                <w:kern w:val="0"/>
                <w:sz w:val="18"/>
                <w:szCs w:val="18"/>
                <w:lang w:eastAsia="nl-NL"/>
              </w:rPr>
              <w:tab/>
            </w:r>
            <w:r w:rsidRPr="002740E3">
              <w:rPr>
                <w:rFonts w:cs="Arial"/>
                <w:kern w:val="0"/>
                <w:sz w:val="18"/>
                <w:szCs w:val="18"/>
                <w:lang w:eastAsia="nl-NL"/>
              </w:rPr>
              <w:t>Limitations of the methodology and its application frankly acknowledged in the CSPE report</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450"/>
              </w:tabs>
              <w:jc w:val="left"/>
              <w:rPr>
                <w:rFonts w:cs="Arial"/>
                <w:sz w:val="18"/>
                <w:szCs w:val="18"/>
              </w:rPr>
            </w:pPr>
            <w:r w:rsidRPr="002740E3">
              <w:rPr>
                <w:rFonts w:cs="Arial"/>
                <w:sz w:val="18"/>
                <w:szCs w:val="18"/>
              </w:rPr>
              <w:t>B.2.</w:t>
            </w:r>
            <w:r w:rsidRPr="002740E3">
              <w:rPr>
                <w:rFonts w:cs="Arial"/>
                <w:sz w:val="18"/>
                <w:szCs w:val="18"/>
              </w:rPr>
              <w:tab/>
              <w:t>CSPE Evaluation Criteria</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r>
            <w:r w:rsidRPr="002740E3">
              <w:rPr>
                <w:rFonts w:eastAsia="Times New Roman" w:cs="Arial"/>
                <w:kern w:val="0"/>
                <w:sz w:val="18"/>
                <w:szCs w:val="18"/>
                <w:lang w:eastAsia="nl-NL"/>
              </w:rPr>
              <w:t>Relevance, efficiency, effectiveness, sustainability, and impact considered mandatory criteria</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AC7889">
            <w:pPr>
              <w:tabs>
                <w:tab w:val="right" w:pos="8640"/>
              </w:tabs>
              <w:ind w:left="276" w:right="-72" w:hanging="276"/>
              <w:jc w:val="left"/>
              <w:rPr>
                <w:rFonts w:eastAsia="Times New Roman" w:cs="Arial"/>
                <w:kern w:val="0"/>
                <w:sz w:val="18"/>
                <w:szCs w:val="18"/>
                <w:lang w:eastAsia="nl-NL"/>
              </w:rPr>
            </w:pPr>
            <w:r w:rsidRPr="002740E3">
              <w:rPr>
                <w:rFonts w:eastAsia="Times New Roman" w:cs="Arial"/>
                <w:kern w:val="0"/>
                <w:sz w:val="18"/>
                <w:szCs w:val="18"/>
                <w:lang w:eastAsia="nl-NL"/>
              </w:rPr>
              <w:t>(a)</w:t>
            </w:r>
            <w:r w:rsidRPr="002740E3">
              <w:rPr>
                <w:rFonts w:eastAsia="Times New Roman" w:cs="Arial"/>
                <w:kern w:val="0"/>
                <w:sz w:val="18"/>
                <w:szCs w:val="18"/>
                <w:lang w:eastAsia="nl-NL"/>
              </w:rPr>
              <w:tab/>
              <w:t xml:space="preserve">Positioning, coherence, institutional development, borrower and </w:t>
            </w:r>
            <w:r w:rsidRPr="002740E3">
              <w:rPr>
                <w:rFonts w:cs="Arial"/>
                <w:sz w:val="18"/>
                <w:szCs w:val="18"/>
                <w:lang w:eastAsia="nl-NL"/>
              </w:rPr>
              <w:t>MDB</w:t>
            </w:r>
            <w:r w:rsidRPr="002740E3">
              <w:rPr>
                <w:rFonts w:cs="Arial"/>
                <w:sz w:val="18"/>
                <w:szCs w:val="18"/>
              </w:rPr>
              <w:t xml:space="preserve"> </w:t>
            </w:r>
            <w:r w:rsidRPr="002740E3">
              <w:rPr>
                <w:rFonts w:eastAsia="Times New Roman" w:cs="Arial"/>
                <w:kern w:val="0"/>
                <w:sz w:val="18"/>
                <w:szCs w:val="18"/>
                <w:lang w:eastAsia="nl-NL"/>
              </w:rPr>
              <w:t>performance, and partner coordination considered optional criteria</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447"/>
              </w:tabs>
              <w:jc w:val="left"/>
              <w:rPr>
                <w:rFonts w:cs="Arial"/>
                <w:i/>
                <w:sz w:val="18"/>
                <w:szCs w:val="18"/>
              </w:rPr>
            </w:pPr>
            <w:r w:rsidRPr="002740E3">
              <w:rPr>
                <w:rFonts w:cs="Arial"/>
                <w:i/>
                <w:sz w:val="18"/>
                <w:szCs w:val="18"/>
              </w:rPr>
              <w:t xml:space="preserve">Relevance, Coherence, and </w:t>
            </w:r>
          </w:p>
          <w:p w:rsidR="0029461A" w:rsidRPr="002740E3" w:rsidRDefault="0029461A" w:rsidP="00816F56">
            <w:pPr>
              <w:ind w:left="441" w:hanging="441"/>
              <w:jc w:val="left"/>
              <w:rPr>
                <w:rFonts w:cs="Arial"/>
                <w:sz w:val="18"/>
                <w:szCs w:val="18"/>
              </w:rPr>
            </w:pPr>
            <w:r w:rsidRPr="002740E3">
              <w:rPr>
                <w:rFonts w:cs="Arial"/>
                <w:i/>
                <w:sz w:val="18"/>
                <w:szCs w:val="18"/>
              </w:rPr>
              <w:t>Positioning</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Relevance examined by assessing if the M</w:t>
            </w:r>
            <w:r w:rsidRPr="002740E3">
              <w:rPr>
                <w:rFonts w:cs="Arial"/>
                <w:sz w:val="18"/>
                <w:szCs w:val="18"/>
                <w:lang w:eastAsia="nl-NL"/>
              </w:rPr>
              <w:t>DB</w:t>
            </w:r>
            <w:r w:rsidRPr="002740E3">
              <w:rPr>
                <w:rFonts w:cs="Arial"/>
                <w:sz w:val="18"/>
                <w:szCs w:val="18"/>
              </w:rPr>
              <w:t>’s strategy and assistance program were consistent with the country context and the government’s strategic priorities</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right" w:pos="8640"/>
              </w:tabs>
              <w:ind w:left="249" w:right="-99" w:hanging="249"/>
              <w:jc w:val="left"/>
              <w:rPr>
                <w:rFonts w:cs="Arial"/>
                <w:sz w:val="18"/>
                <w:szCs w:val="18"/>
              </w:rPr>
            </w:pPr>
            <w:r w:rsidRPr="002740E3">
              <w:rPr>
                <w:rFonts w:cs="Arial"/>
                <w:sz w:val="18"/>
                <w:szCs w:val="18"/>
              </w:rPr>
              <w:t>(a)</w:t>
            </w:r>
            <w:r w:rsidRPr="002740E3">
              <w:rPr>
                <w:rFonts w:cs="Arial"/>
                <w:sz w:val="18"/>
                <w:szCs w:val="18"/>
              </w:rPr>
              <w:tab/>
              <w:t>The MDB’s processes used to   maintain relevance assessed</w:t>
            </w:r>
          </w:p>
          <w:p w:rsidR="0029461A" w:rsidRPr="002740E3" w:rsidRDefault="0029461A" w:rsidP="00AC7889">
            <w:pPr>
              <w:tabs>
                <w:tab w:val="right" w:pos="8640"/>
              </w:tabs>
              <w:ind w:left="249" w:right="-99" w:hanging="249"/>
              <w:jc w:val="left"/>
              <w:rPr>
                <w:rFonts w:cs="Arial"/>
                <w:sz w:val="18"/>
                <w:szCs w:val="18"/>
              </w:rPr>
            </w:pPr>
            <w:r w:rsidRPr="002740E3">
              <w:rPr>
                <w:rFonts w:cs="Arial"/>
                <w:sz w:val="18"/>
                <w:szCs w:val="18"/>
              </w:rPr>
              <w:t>(b)</w:t>
            </w:r>
            <w:r w:rsidRPr="002740E3">
              <w:rPr>
                <w:rFonts w:cs="Arial"/>
                <w:sz w:val="18"/>
                <w:szCs w:val="18"/>
              </w:rPr>
              <w:tab/>
              <w:t xml:space="preserve">Criteria such as positioning and coherence used to assess the degree to which the design of the strategy and program harnesses positive synergies and builds on the </w:t>
            </w:r>
            <w:r w:rsidRPr="002740E3">
              <w:rPr>
                <w:rFonts w:cs="Arial"/>
                <w:sz w:val="18"/>
                <w:szCs w:val="18"/>
                <w:lang w:eastAsia="nl-NL"/>
              </w:rPr>
              <w:t>MDB</w:t>
            </w:r>
            <w:r w:rsidRPr="002740E3">
              <w:rPr>
                <w:rFonts w:cs="Arial"/>
                <w:sz w:val="18"/>
                <w:szCs w:val="18"/>
              </w:rPr>
              <w:t>’s core competence</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72"/>
              </w:tabs>
              <w:jc w:val="left"/>
              <w:rPr>
                <w:rFonts w:cs="Arial"/>
                <w:sz w:val="18"/>
                <w:szCs w:val="18"/>
              </w:rPr>
            </w:pPr>
            <w:r w:rsidRPr="002740E3">
              <w:rPr>
                <w:rFonts w:cs="Arial"/>
                <w:sz w:val="18"/>
                <w:szCs w:val="18"/>
              </w:rPr>
              <w:lastRenderedPageBreak/>
              <w:tab/>
            </w:r>
            <w:r w:rsidRPr="002740E3">
              <w:rPr>
                <w:rFonts w:cs="Arial"/>
                <w:i/>
                <w:sz w:val="18"/>
                <w:szCs w:val="18"/>
              </w:rPr>
              <w:t>Efficiency</w:t>
            </w:r>
          </w:p>
        </w:tc>
        <w:tc>
          <w:tcPr>
            <w:tcW w:w="0" w:type="auto"/>
          </w:tcPr>
          <w:p w:rsidR="0029461A" w:rsidRPr="002740E3" w:rsidRDefault="0029461A" w:rsidP="00816F56">
            <w:pPr>
              <w:ind w:left="282" w:right="-62" w:hanging="282"/>
              <w:jc w:val="left"/>
              <w:rPr>
                <w:rFonts w:cs="Arial"/>
                <w:sz w:val="18"/>
                <w:szCs w:val="18"/>
              </w:rPr>
            </w:pPr>
            <w:r w:rsidRPr="002740E3">
              <w:rPr>
                <w:rFonts w:cs="Arial"/>
                <w:sz w:val="18"/>
                <w:szCs w:val="18"/>
              </w:rPr>
              <w:t>(a)</w:t>
            </w:r>
            <w:r w:rsidRPr="002740E3">
              <w:rPr>
                <w:rFonts w:cs="Arial"/>
                <w:sz w:val="18"/>
                <w:szCs w:val="18"/>
              </w:rPr>
              <w:tab/>
              <w:t>Efficiency assessed using indicators affecting cost-effectiveness, transaction costs, portfolio performance, monitoring and evaluation arrangements, and other project/program implementation</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72"/>
              </w:tabs>
              <w:jc w:val="left"/>
              <w:rPr>
                <w:rFonts w:cs="Arial"/>
                <w:sz w:val="18"/>
                <w:szCs w:val="18"/>
              </w:rPr>
            </w:pPr>
            <w:r w:rsidRPr="002740E3">
              <w:rPr>
                <w:rFonts w:cs="Arial"/>
                <w:sz w:val="18"/>
                <w:szCs w:val="18"/>
              </w:rPr>
              <w:tab/>
            </w:r>
            <w:r w:rsidRPr="002740E3">
              <w:rPr>
                <w:rFonts w:cs="Arial"/>
                <w:i/>
                <w:sz w:val="18"/>
                <w:szCs w:val="18"/>
              </w:rPr>
              <w:t>Effectiveness</w:t>
            </w:r>
          </w:p>
        </w:tc>
        <w:tc>
          <w:tcPr>
            <w:tcW w:w="0" w:type="auto"/>
          </w:tcPr>
          <w:p w:rsidR="0029461A" w:rsidRPr="002740E3" w:rsidRDefault="0029461A" w:rsidP="00816F56">
            <w:pPr>
              <w:ind w:left="282" w:hanging="282"/>
              <w:jc w:val="left"/>
              <w:rPr>
                <w:rFonts w:cs="Arial"/>
                <w:color w:val="000000"/>
                <w:sz w:val="18"/>
                <w:szCs w:val="18"/>
              </w:rPr>
            </w:pPr>
            <w:r w:rsidRPr="002740E3">
              <w:rPr>
                <w:rFonts w:cs="Arial"/>
                <w:sz w:val="18"/>
                <w:szCs w:val="18"/>
              </w:rPr>
              <w:t>(a)</w:t>
            </w:r>
            <w:r w:rsidRPr="002740E3">
              <w:rPr>
                <w:rFonts w:cs="Arial"/>
                <w:sz w:val="18"/>
                <w:szCs w:val="18"/>
              </w:rPr>
              <w:tab/>
            </w:r>
            <w:r w:rsidRPr="002740E3">
              <w:rPr>
                <w:rFonts w:eastAsia="Times New Roman" w:cs="Arial"/>
                <w:kern w:val="0"/>
                <w:sz w:val="18"/>
                <w:szCs w:val="18"/>
                <w:lang w:eastAsia="nl-NL"/>
              </w:rPr>
              <w:t>Extent</w:t>
            </w:r>
            <w:r w:rsidRPr="002740E3">
              <w:rPr>
                <w:rFonts w:cs="Arial"/>
                <w:color w:val="000000"/>
                <w:sz w:val="18"/>
                <w:szCs w:val="18"/>
              </w:rPr>
              <w:t xml:space="preserve"> to which strategic outcomes were achieved and sufficient development progress was made used to assess program effectiveness</w:t>
            </w:r>
          </w:p>
          <w:p w:rsidR="0029461A" w:rsidRPr="002740E3" w:rsidRDefault="0029461A" w:rsidP="00816F56">
            <w:pPr>
              <w:ind w:left="282" w:hanging="282"/>
              <w:jc w:val="left"/>
              <w:rPr>
                <w:rFonts w:cs="Arial"/>
                <w:color w:val="000000"/>
                <w:sz w:val="18"/>
                <w:szCs w:val="18"/>
              </w:rPr>
            </w:pPr>
            <w:r w:rsidRPr="002740E3">
              <w:rPr>
                <w:rFonts w:cs="Arial"/>
                <w:color w:val="000000"/>
                <w:sz w:val="18"/>
                <w:szCs w:val="18"/>
              </w:rPr>
              <w:t>(b)</w:t>
            </w:r>
            <w:r w:rsidRPr="002740E3">
              <w:rPr>
                <w:rFonts w:cs="Arial"/>
                <w:color w:val="000000"/>
                <w:sz w:val="18"/>
                <w:szCs w:val="18"/>
              </w:rPr>
              <w:tab/>
              <w:t xml:space="preserve">Determinants of performance in achieving the </w:t>
            </w:r>
            <w:r w:rsidRPr="002740E3">
              <w:rPr>
                <w:rFonts w:cs="Arial"/>
                <w:sz w:val="18"/>
                <w:szCs w:val="18"/>
                <w:lang w:eastAsia="nl-NL"/>
              </w:rPr>
              <w:t>MDB’s</w:t>
            </w:r>
            <w:r w:rsidRPr="002740E3">
              <w:rPr>
                <w:rFonts w:cs="Arial"/>
                <w:sz w:val="18"/>
                <w:szCs w:val="18"/>
              </w:rPr>
              <w:t xml:space="preserve"> </w:t>
            </w:r>
            <w:r w:rsidRPr="002740E3">
              <w:rPr>
                <w:rFonts w:cs="Arial"/>
                <w:color w:val="000000"/>
                <w:sz w:val="18"/>
                <w:szCs w:val="18"/>
              </w:rPr>
              <w:t>objectives identified</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49" w:right="-48" w:hanging="249"/>
              <w:jc w:val="left"/>
              <w:rPr>
                <w:rFonts w:cs="Arial"/>
                <w:sz w:val="18"/>
                <w:szCs w:val="18"/>
              </w:rPr>
            </w:pPr>
            <w:r w:rsidRPr="002740E3">
              <w:rPr>
                <w:rFonts w:cs="Arial"/>
                <w:sz w:val="18"/>
                <w:szCs w:val="18"/>
              </w:rPr>
              <w:t>(a)</w:t>
            </w:r>
            <w:r w:rsidRPr="002740E3">
              <w:rPr>
                <w:rFonts w:cs="Arial"/>
                <w:sz w:val="18"/>
                <w:szCs w:val="18"/>
              </w:rPr>
              <w:tab/>
              <w:t xml:space="preserve">The MDB’s contribution to broader corporate objectives assessed, but distinction drawn between those </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72"/>
              </w:tabs>
              <w:jc w:val="left"/>
              <w:rPr>
                <w:rFonts w:cs="Arial"/>
                <w:sz w:val="18"/>
                <w:szCs w:val="18"/>
              </w:rPr>
            </w:pPr>
          </w:p>
        </w:tc>
        <w:tc>
          <w:tcPr>
            <w:tcW w:w="0" w:type="auto"/>
          </w:tcPr>
          <w:p w:rsidR="0029461A" w:rsidRPr="002740E3" w:rsidRDefault="0029461A" w:rsidP="00816F56">
            <w:pPr>
              <w:ind w:left="282" w:hanging="282"/>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left" w:pos="4320"/>
                <w:tab w:val="right" w:pos="8640"/>
              </w:tabs>
              <w:ind w:left="249" w:right="-48" w:hanging="249"/>
              <w:jc w:val="left"/>
              <w:rPr>
                <w:rFonts w:cs="Arial"/>
                <w:sz w:val="18"/>
                <w:szCs w:val="18"/>
              </w:rPr>
            </w:pPr>
            <w:r w:rsidRPr="002740E3">
              <w:rPr>
                <w:rFonts w:cs="Arial"/>
                <w:sz w:val="18"/>
                <w:szCs w:val="18"/>
              </w:rPr>
              <w:tab/>
              <w:t>thematic issues whose coverage is mandatory and those whose coverage is optional</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ind w:left="441" w:hanging="441"/>
              <w:jc w:val="left"/>
              <w:rPr>
                <w:rFonts w:cs="Arial"/>
                <w:sz w:val="18"/>
                <w:szCs w:val="18"/>
              </w:rPr>
            </w:pPr>
            <w:r w:rsidRPr="002740E3">
              <w:rPr>
                <w:rFonts w:cs="Arial"/>
                <w:i/>
                <w:sz w:val="18"/>
                <w:szCs w:val="18"/>
              </w:rPr>
              <w:t>Sustainability</w:t>
            </w:r>
          </w:p>
        </w:tc>
        <w:tc>
          <w:tcPr>
            <w:tcW w:w="0" w:type="auto"/>
          </w:tcPr>
          <w:p w:rsidR="0029461A" w:rsidRPr="002740E3" w:rsidRDefault="0029461A" w:rsidP="00816F56">
            <w:pPr>
              <w:ind w:left="282" w:hanging="282"/>
              <w:jc w:val="left"/>
              <w:rPr>
                <w:rFonts w:eastAsia="Times New Roman" w:cs="Arial"/>
                <w:kern w:val="0"/>
                <w:sz w:val="18"/>
                <w:szCs w:val="18"/>
                <w:lang w:eastAsia="nl-NL"/>
              </w:rPr>
            </w:pPr>
            <w:r w:rsidRPr="002740E3">
              <w:rPr>
                <w:rFonts w:cs="Arial"/>
                <w:sz w:val="18"/>
                <w:szCs w:val="18"/>
              </w:rPr>
              <w:t>(a)</w:t>
            </w:r>
            <w:r w:rsidRPr="002740E3">
              <w:rPr>
                <w:rFonts w:cs="Arial"/>
                <w:sz w:val="18"/>
                <w:szCs w:val="18"/>
              </w:rPr>
              <w:tab/>
            </w:r>
            <w:r w:rsidRPr="002740E3">
              <w:rPr>
                <w:rFonts w:eastAsia="Times New Roman" w:cs="Arial"/>
                <w:kern w:val="0"/>
                <w:sz w:val="18"/>
                <w:szCs w:val="18"/>
                <w:lang w:eastAsia="nl-NL"/>
              </w:rPr>
              <w:t xml:space="preserve">The degree to which the results of the </w:t>
            </w:r>
            <w:r w:rsidRPr="002740E3">
              <w:rPr>
                <w:rFonts w:cs="Arial"/>
                <w:sz w:val="18"/>
                <w:szCs w:val="18"/>
                <w:lang w:eastAsia="nl-NL"/>
              </w:rPr>
              <w:t>MDB’s</w:t>
            </w:r>
            <w:r w:rsidRPr="002740E3">
              <w:rPr>
                <w:rFonts w:cs="Arial"/>
                <w:sz w:val="18"/>
                <w:szCs w:val="18"/>
              </w:rPr>
              <w:t xml:space="preserve"> </w:t>
            </w:r>
            <w:r w:rsidRPr="002740E3">
              <w:rPr>
                <w:rFonts w:eastAsia="Times New Roman" w:cs="Arial"/>
                <w:kern w:val="0"/>
                <w:sz w:val="18"/>
                <w:szCs w:val="18"/>
                <w:lang w:eastAsia="nl-NL"/>
              </w:rPr>
              <w:t xml:space="preserve">assistance are likely to be sustained after the conclusion of the program assessed </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432"/>
              </w:tabs>
              <w:ind w:left="-18" w:firstLine="18"/>
              <w:jc w:val="left"/>
              <w:rPr>
                <w:rFonts w:cs="Arial"/>
                <w:sz w:val="18"/>
                <w:szCs w:val="18"/>
              </w:rPr>
            </w:pPr>
            <w:r w:rsidRPr="002740E3">
              <w:rPr>
                <w:rFonts w:cs="Arial"/>
                <w:i/>
                <w:sz w:val="18"/>
                <w:szCs w:val="18"/>
              </w:rPr>
              <w:t>Impact and Institutional Development</w:t>
            </w:r>
          </w:p>
        </w:tc>
        <w:tc>
          <w:tcPr>
            <w:tcW w:w="0" w:type="auto"/>
          </w:tcPr>
          <w:p w:rsidR="0029461A" w:rsidRPr="002740E3" w:rsidRDefault="0029461A" w:rsidP="00AC7889">
            <w:pPr>
              <w:ind w:left="282" w:hanging="282"/>
              <w:jc w:val="left"/>
              <w:rPr>
                <w:rFonts w:cs="Arial"/>
                <w:sz w:val="18"/>
                <w:szCs w:val="18"/>
              </w:rPr>
            </w:pPr>
            <w:r w:rsidRPr="002740E3">
              <w:rPr>
                <w:rFonts w:cs="Arial"/>
                <w:sz w:val="18"/>
                <w:szCs w:val="18"/>
              </w:rPr>
              <w:t>(a)</w:t>
            </w:r>
            <w:r w:rsidRPr="002740E3">
              <w:rPr>
                <w:rFonts w:cs="Arial"/>
                <w:sz w:val="18"/>
                <w:szCs w:val="18"/>
              </w:rPr>
              <w:tab/>
              <w:t xml:space="preserve">Impact assessed relative to national goals and to </w:t>
            </w:r>
            <w:r w:rsidRPr="002740E3">
              <w:rPr>
                <w:rFonts w:cs="Arial"/>
                <w:sz w:val="18"/>
                <w:szCs w:val="18"/>
              </w:rPr>
              <w:br/>
              <w:t>program-specific goals and targets</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67" w:hanging="267"/>
              <w:jc w:val="left"/>
              <w:rPr>
                <w:rFonts w:cs="Arial"/>
                <w:sz w:val="18"/>
                <w:szCs w:val="18"/>
                <w:lang w:eastAsia="nl-NL"/>
              </w:rPr>
            </w:pPr>
            <w:r w:rsidRPr="002740E3">
              <w:rPr>
                <w:rFonts w:cs="Arial"/>
                <w:sz w:val="18"/>
                <w:szCs w:val="18"/>
                <w:lang w:eastAsia="nl-NL"/>
              </w:rPr>
              <w:t>(a)</w:t>
            </w:r>
            <w:r w:rsidRPr="002740E3">
              <w:rPr>
                <w:rFonts w:cs="Arial"/>
                <w:sz w:val="18"/>
                <w:szCs w:val="18"/>
                <w:lang w:eastAsia="nl-NL"/>
              </w:rPr>
              <w:tab/>
              <w:t>Extent to which the MDB</w:t>
            </w:r>
            <w:r w:rsidRPr="002740E3">
              <w:rPr>
                <w:rFonts w:cs="Arial"/>
                <w:sz w:val="18"/>
                <w:szCs w:val="18"/>
              </w:rPr>
              <w:t xml:space="preserve"> </w:t>
            </w:r>
            <w:r w:rsidRPr="002740E3">
              <w:rPr>
                <w:rFonts w:cs="Arial"/>
                <w:sz w:val="18"/>
                <w:szCs w:val="18"/>
                <w:lang w:eastAsia="nl-NL"/>
              </w:rPr>
              <w:t>has helped to develop institutional capacity separately assessed if not part of impact assessment</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522"/>
              </w:tabs>
              <w:jc w:val="left"/>
              <w:rPr>
                <w:rFonts w:cs="Arial"/>
                <w:sz w:val="18"/>
                <w:szCs w:val="18"/>
              </w:rPr>
            </w:pPr>
            <w:r w:rsidRPr="002740E3">
              <w:rPr>
                <w:rFonts w:cs="Arial"/>
                <w:i/>
                <w:sz w:val="18"/>
                <w:szCs w:val="18"/>
              </w:rPr>
              <w:t>Borrower Performance</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49" w:hanging="249"/>
              <w:jc w:val="left"/>
              <w:rPr>
                <w:rFonts w:cs="Arial"/>
                <w:sz w:val="18"/>
                <w:szCs w:val="18"/>
              </w:rPr>
            </w:pPr>
            <w:r w:rsidRPr="002740E3">
              <w:rPr>
                <w:rFonts w:cs="Arial"/>
                <w:sz w:val="18"/>
                <w:szCs w:val="18"/>
              </w:rPr>
              <w:t>(a)</w:t>
            </w:r>
            <w:r w:rsidRPr="002740E3">
              <w:rPr>
                <w:rFonts w:cs="Arial"/>
                <w:sz w:val="18"/>
                <w:szCs w:val="18"/>
              </w:rPr>
              <w:tab/>
              <w:t>Borrower performance, particularly the degree of program ownership, assessed but not formally rated</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462"/>
              </w:tabs>
              <w:jc w:val="left"/>
              <w:rPr>
                <w:rFonts w:cs="Arial"/>
                <w:i/>
                <w:sz w:val="18"/>
                <w:szCs w:val="18"/>
              </w:rPr>
            </w:pPr>
            <w:r w:rsidRPr="002740E3">
              <w:rPr>
                <w:rFonts w:cs="Arial"/>
                <w:i/>
                <w:sz w:val="18"/>
                <w:szCs w:val="18"/>
                <w:lang w:eastAsia="nl-NL"/>
              </w:rPr>
              <w:t xml:space="preserve">MDB  </w:t>
            </w:r>
            <w:r w:rsidRPr="002740E3">
              <w:rPr>
                <w:rFonts w:cs="Arial"/>
                <w:i/>
                <w:sz w:val="18"/>
                <w:szCs w:val="18"/>
              </w:rPr>
              <w:t>Performance</w:t>
            </w:r>
          </w:p>
        </w:tc>
        <w:tc>
          <w:tcPr>
            <w:tcW w:w="0" w:type="auto"/>
          </w:tcPr>
          <w:p w:rsidR="0029461A" w:rsidRPr="002740E3" w:rsidRDefault="0029461A" w:rsidP="00816F56">
            <w:pPr>
              <w:tabs>
                <w:tab w:val="left" w:pos="462"/>
              </w:tabs>
              <w:jc w:val="left"/>
              <w:rPr>
                <w:rFonts w:cs="Arial"/>
                <w:sz w:val="18"/>
                <w:szCs w:val="18"/>
              </w:rPr>
            </w:pPr>
          </w:p>
        </w:tc>
        <w:tc>
          <w:tcPr>
            <w:tcW w:w="0" w:type="auto"/>
          </w:tcPr>
          <w:p w:rsidR="0029461A" w:rsidRPr="002740E3" w:rsidRDefault="0029461A" w:rsidP="00816F56">
            <w:pPr>
              <w:tabs>
                <w:tab w:val="left" w:pos="462"/>
              </w:tabs>
              <w:jc w:val="left"/>
              <w:rPr>
                <w:rFonts w:cs="Arial"/>
                <w:sz w:val="18"/>
                <w:szCs w:val="18"/>
              </w:rPr>
            </w:pPr>
          </w:p>
        </w:tc>
        <w:tc>
          <w:tcPr>
            <w:tcW w:w="0" w:type="auto"/>
          </w:tcPr>
          <w:p w:rsidR="0029461A" w:rsidRPr="002740E3" w:rsidRDefault="0029461A" w:rsidP="00816F56">
            <w:pPr>
              <w:tabs>
                <w:tab w:val="left" w:pos="462"/>
              </w:tabs>
              <w:jc w:val="left"/>
              <w:rPr>
                <w:rFonts w:cs="Arial"/>
                <w:sz w:val="18"/>
                <w:szCs w:val="18"/>
              </w:rPr>
            </w:pPr>
            <w:r w:rsidRPr="002740E3">
              <w:rPr>
                <w:rFonts w:cs="Arial"/>
                <w:sz w:val="18"/>
                <w:szCs w:val="18"/>
              </w:rPr>
              <w:t>(a)</w:t>
            </w:r>
            <w:r w:rsidRPr="002740E3">
              <w:rPr>
                <w:rFonts w:cs="Arial"/>
                <w:sz w:val="18"/>
                <w:szCs w:val="18"/>
              </w:rPr>
              <w:tab/>
              <w:t xml:space="preserve">The </w:t>
            </w:r>
            <w:r w:rsidRPr="002740E3">
              <w:rPr>
                <w:rFonts w:cs="Arial"/>
                <w:sz w:val="18"/>
                <w:szCs w:val="18"/>
                <w:lang w:eastAsia="nl-NL"/>
              </w:rPr>
              <w:t>MDB’s</w:t>
            </w:r>
            <w:r w:rsidRPr="002740E3">
              <w:rPr>
                <w:rFonts w:cs="Arial"/>
                <w:sz w:val="18"/>
                <w:szCs w:val="18"/>
              </w:rPr>
              <w:t xml:space="preserve"> performance formally assessed, including its responsiveness to client needs </w:t>
            </w:r>
          </w:p>
        </w:tc>
        <w:tc>
          <w:tcPr>
            <w:tcW w:w="0" w:type="auto"/>
          </w:tcPr>
          <w:p w:rsidR="0029461A" w:rsidRPr="002740E3" w:rsidRDefault="0029461A" w:rsidP="00816F56">
            <w:pPr>
              <w:tabs>
                <w:tab w:val="left" w:pos="462"/>
              </w:tabs>
              <w:jc w:val="left"/>
              <w:rPr>
                <w:rFonts w:cs="Arial"/>
                <w:sz w:val="18"/>
                <w:szCs w:val="18"/>
              </w:rPr>
            </w:pPr>
          </w:p>
        </w:tc>
        <w:tc>
          <w:tcPr>
            <w:tcW w:w="0" w:type="auto"/>
          </w:tcPr>
          <w:p w:rsidR="0029461A" w:rsidRPr="002740E3" w:rsidRDefault="0029461A" w:rsidP="00816F56">
            <w:pPr>
              <w:tabs>
                <w:tab w:val="left" w:pos="462"/>
              </w:tabs>
              <w:jc w:val="left"/>
              <w:rPr>
                <w:rFonts w:cs="Arial"/>
                <w:sz w:val="18"/>
                <w:szCs w:val="18"/>
              </w:rPr>
            </w:pPr>
          </w:p>
        </w:tc>
      </w:tr>
      <w:tr w:rsidR="0029461A" w:rsidRPr="002740E3" w:rsidTr="00CC12E7">
        <w:tc>
          <w:tcPr>
            <w:tcW w:w="0" w:type="auto"/>
          </w:tcPr>
          <w:p w:rsidR="0029461A" w:rsidRPr="002740E3" w:rsidRDefault="0029461A" w:rsidP="00816F56">
            <w:pPr>
              <w:tabs>
                <w:tab w:val="left" w:pos="432"/>
              </w:tabs>
              <w:jc w:val="left"/>
              <w:rPr>
                <w:rFonts w:cs="Arial"/>
                <w:i/>
                <w:sz w:val="18"/>
                <w:szCs w:val="18"/>
              </w:rPr>
            </w:pPr>
            <w:r w:rsidRPr="002740E3">
              <w:rPr>
                <w:rFonts w:cs="Arial"/>
                <w:i/>
                <w:sz w:val="18"/>
                <w:szCs w:val="18"/>
              </w:rPr>
              <w:t>Partnership and</w:t>
            </w:r>
          </w:p>
          <w:p w:rsidR="0029461A" w:rsidRPr="002740E3" w:rsidRDefault="0029461A" w:rsidP="00816F56">
            <w:pPr>
              <w:tabs>
                <w:tab w:val="left" w:pos="417"/>
              </w:tabs>
              <w:jc w:val="left"/>
              <w:rPr>
                <w:rFonts w:cs="Arial"/>
                <w:sz w:val="18"/>
                <w:szCs w:val="18"/>
              </w:rPr>
            </w:pPr>
            <w:r w:rsidRPr="002740E3">
              <w:rPr>
                <w:rFonts w:cs="Arial"/>
                <w:i/>
                <w:sz w:val="18"/>
                <w:szCs w:val="18"/>
              </w:rPr>
              <w:t>Harmonization</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49" w:hanging="249"/>
              <w:jc w:val="left"/>
              <w:rPr>
                <w:rFonts w:cs="Arial"/>
                <w:kern w:val="0"/>
                <w:sz w:val="18"/>
                <w:szCs w:val="18"/>
              </w:rPr>
            </w:pPr>
            <w:r w:rsidRPr="002740E3">
              <w:rPr>
                <w:rFonts w:cs="Arial"/>
                <w:sz w:val="18"/>
                <w:szCs w:val="18"/>
              </w:rPr>
              <w:t>(a)</w:t>
            </w:r>
            <w:r w:rsidRPr="002740E3">
              <w:rPr>
                <w:rFonts w:cs="Arial"/>
                <w:sz w:val="18"/>
                <w:szCs w:val="18"/>
              </w:rPr>
              <w:tab/>
              <w:t xml:space="preserve">CSPE </w:t>
            </w:r>
            <w:r w:rsidRPr="002740E3">
              <w:rPr>
                <w:rFonts w:cs="Arial"/>
                <w:kern w:val="0"/>
                <w:sz w:val="18"/>
                <w:szCs w:val="18"/>
              </w:rPr>
              <w:t xml:space="preserve">examines the extent to which the </w:t>
            </w:r>
            <w:r w:rsidRPr="002740E3">
              <w:rPr>
                <w:rFonts w:cs="Arial"/>
                <w:sz w:val="18"/>
                <w:szCs w:val="18"/>
                <w:lang w:eastAsia="nl-NL"/>
              </w:rPr>
              <w:t>MDB</w:t>
            </w:r>
            <w:r w:rsidRPr="002740E3">
              <w:rPr>
                <w:rFonts w:cs="Arial"/>
                <w:sz w:val="18"/>
                <w:szCs w:val="18"/>
              </w:rPr>
              <w:t xml:space="preserve"> </w:t>
            </w:r>
            <w:r w:rsidRPr="002740E3">
              <w:rPr>
                <w:rFonts w:cs="Arial"/>
                <w:kern w:val="0"/>
                <w:sz w:val="18"/>
                <w:szCs w:val="18"/>
              </w:rPr>
              <w:t>has been an effective partner in a multistakeholder development assistance effort.</w:t>
            </w:r>
          </w:p>
          <w:p w:rsidR="0029461A" w:rsidRPr="002740E3" w:rsidRDefault="0029461A" w:rsidP="00816F56">
            <w:pPr>
              <w:tabs>
                <w:tab w:val="center" w:pos="4320"/>
                <w:tab w:val="right" w:pos="8640"/>
              </w:tabs>
              <w:ind w:left="249" w:hanging="249"/>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gridSpan w:val="6"/>
          </w:tcPr>
          <w:p w:rsidR="0029461A" w:rsidRPr="002740E3" w:rsidRDefault="0029461A" w:rsidP="00816F56">
            <w:pPr>
              <w:tabs>
                <w:tab w:val="center" w:pos="4320"/>
                <w:tab w:val="right" w:pos="8640"/>
              </w:tabs>
              <w:jc w:val="left"/>
              <w:rPr>
                <w:rFonts w:cs="Arial"/>
                <w:sz w:val="18"/>
                <w:szCs w:val="18"/>
              </w:rPr>
            </w:pPr>
            <w:r w:rsidRPr="002740E3">
              <w:rPr>
                <w:rFonts w:cs="Arial"/>
                <w:sz w:val="18"/>
                <w:szCs w:val="18"/>
              </w:rPr>
              <w:lastRenderedPageBreak/>
              <w:t>B.3. Performance Rating</w:t>
            </w:r>
          </w:p>
        </w:tc>
      </w:tr>
      <w:tr w:rsidR="00AC7889" w:rsidRPr="002740E3" w:rsidTr="00CC12E7">
        <w:trPr>
          <w:trHeight w:val="1646"/>
        </w:trPr>
        <w:tc>
          <w:tcPr>
            <w:tcW w:w="0" w:type="auto"/>
          </w:tcPr>
          <w:p w:rsidR="00AC7889" w:rsidRPr="002740E3" w:rsidRDefault="00AC7889" w:rsidP="00816F56">
            <w:pPr>
              <w:tabs>
                <w:tab w:val="left" w:pos="447"/>
              </w:tabs>
              <w:jc w:val="left"/>
              <w:rPr>
                <w:rFonts w:cs="Arial"/>
                <w:sz w:val="18"/>
                <w:szCs w:val="18"/>
              </w:rPr>
            </w:pPr>
            <w:r w:rsidRPr="002740E3">
              <w:rPr>
                <w:rFonts w:cs="Arial"/>
                <w:i/>
                <w:sz w:val="18"/>
                <w:szCs w:val="18"/>
              </w:rPr>
              <w:t>Ratings Principles and Comparability</w:t>
            </w:r>
          </w:p>
        </w:tc>
        <w:tc>
          <w:tcPr>
            <w:tcW w:w="0" w:type="auto"/>
          </w:tcPr>
          <w:p w:rsidR="00AC7889" w:rsidRPr="002740E3" w:rsidRDefault="00AC7889"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If quantitative rating is undertaken, the rating system should use well-defined criteria and be as simple as possible.</w:t>
            </w:r>
          </w:p>
          <w:p w:rsidR="00AC7889" w:rsidRPr="002740E3" w:rsidRDefault="00AC7889" w:rsidP="00816F56">
            <w:pPr>
              <w:tabs>
                <w:tab w:val="center" w:pos="4320"/>
                <w:tab w:val="right" w:pos="8640"/>
              </w:tabs>
              <w:ind w:left="282" w:hanging="282"/>
              <w:jc w:val="left"/>
              <w:rPr>
                <w:rFonts w:cs="Arial"/>
                <w:sz w:val="18"/>
                <w:szCs w:val="18"/>
              </w:rPr>
            </w:pPr>
            <w:r w:rsidRPr="002740E3">
              <w:rPr>
                <w:rFonts w:cs="Arial"/>
                <w:sz w:val="18"/>
                <w:szCs w:val="18"/>
              </w:rPr>
              <w:t>(b)</w:t>
            </w:r>
            <w:r w:rsidRPr="002740E3">
              <w:rPr>
                <w:rFonts w:cs="Arial"/>
                <w:sz w:val="18"/>
                <w:szCs w:val="18"/>
              </w:rPr>
              <w:tab/>
              <w:t>The manner in which ratings are derived is stated in the report.</w:t>
            </w:r>
          </w:p>
          <w:p w:rsidR="00AC7889" w:rsidRPr="002740E3" w:rsidRDefault="00AC7889" w:rsidP="00816F56">
            <w:pPr>
              <w:tabs>
                <w:tab w:val="center" w:pos="4320"/>
                <w:tab w:val="right" w:pos="8640"/>
              </w:tabs>
              <w:ind w:left="282" w:hanging="282"/>
              <w:jc w:val="left"/>
              <w:rPr>
                <w:rFonts w:cs="Arial"/>
                <w:sz w:val="18"/>
                <w:szCs w:val="18"/>
              </w:rPr>
            </w:pPr>
            <w:r w:rsidRPr="002740E3">
              <w:rPr>
                <w:rFonts w:cs="Arial"/>
                <w:sz w:val="18"/>
                <w:szCs w:val="18"/>
              </w:rPr>
              <w:t>(c)</w:t>
            </w:r>
            <w:r w:rsidRPr="002740E3">
              <w:rPr>
                <w:rFonts w:cs="Arial"/>
                <w:sz w:val="18"/>
                <w:szCs w:val="18"/>
              </w:rPr>
              <w:tab/>
              <w:t>Limitations of the rating system are acknowledged</w:t>
            </w:r>
          </w:p>
          <w:p w:rsidR="00AC7889" w:rsidRPr="002740E3" w:rsidRDefault="00AC7889" w:rsidP="00816F56">
            <w:pPr>
              <w:tabs>
                <w:tab w:val="center" w:pos="4320"/>
                <w:tab w:val="right" w:pos="8640"/>
              </w:tabs>
              <w:ind w:left="282" w:hanging="282"/>
              <w:jc w:val="left"/>
              <w:rPr>
                <w:rFonts w:cs="Arial"/>
                <w:sz w:val="18"/>
                <w:szCs w:val="18"/>
              </w:rPr>
            </w:pPr>
            <w:r w:rsidRPr="002740E3">
              <w:rPr>
                <w:rFonts w:cs="Arial"/>
                <w:sz w:val="18"/>
                <w:szCs w:val="18"/>
              </w:rPr>
              <w:tab/>
              <w:t>.</w:t>
            </w:r>
          </w:p>
          <w:p w:rsidR="00AC7889" w:rsidRPr="002740E3" w:rsidRDefault="00AC7889" w:rsidP="00816F56">
            <w:pPr>
              <w:tabs>
                <w:tab w:val="center" w:pos="4320"/>
                <w:tab w:val="right" w:pos="8640"/>
              </w:tabs>
              <w:ind w:left="282" w:hanging="282"/>
              <w:jc w:val="left"/>
              <w:rPr>
                <w:rFonts w:cs="Arial"/>
                <w:sz w:val="18"/>
                <w:szCs w:val="18"/>
              </w:rPr>
            </w:pPr>
            <w:r w:rsidRPr="002740E3">
              <w:rPr>
                <w:rFonts w:cs="Arial"/>
                <w:sz w:val="18"/>
                <w:szCs w:val="18"/>
              </w:rPr>
              <w:t>(d)</w:t>
            </w:r>
            <w:r w:rsidRPr="002740E3">
              <w:rPr>
                <w:rFonts w:cs="Arial"/>
                <w:sz w:val="18"/>
                <w:szCs w:val="18"/>
              </w:rPr>
              <w:tab/>
              <w:t>Rating system is uniform.</w:t>
            </w:r>
          </w:p>
          <w:p w:rsidR="00AC7889" w:rsidRPr="002740E3" w:rsidRDefault="00AC7889" w:rsidP="00816F56">
            <w:pPr>
              <w:tabs>
                <w:tab w:val="center" w:pos="4320"/>
                <w:tab w:val="right" w:pos="8640"/>
              </w:tabs>
              <w:jc w:val="left"/>
              <w:rPr>
                <w:rFonts w:cs="Arial"/>
                <w:sz w:val="18"/>
                <w:szCs w:val="18"/>
              </w:rPr>
            </w:pPr>
          </w:p>
        </w:tc>
        <w:tc>
          <w:tcPr>
            <w:tcW w:w="0" w:type="auto"/>
          </w:tcPr>
          <w:p w:rsidR="00AC7889" w:rsidRPr="002740E3" w:rsidRDefault="00AC7889" w:rsidP="00816F56">
            <w:pPr>
              <w:tabs>
                <w:tab w:val="center" w:pos="4320"/>
                <w:tab w:val="right" w:pos="8640"/>
              </w:tabs>
              <w:jc w:val="left"/>
              <w:rPr>
                <w:rFonts w:cs="Arial"/>
                <w:sz w:val="18"/>
                <w:szCs w:val="18"/>
              </w:rPr>
            </w:pPr>
          </w:p>
        </w:tc>
        <w:tc>
          <w:tcPr>
            <w:tcW w:w="0" w:type="auto"/>
          </w:tcPr>
          <w:p w:rsidR="00AC7889" w:rsidRPr="002740E3" w:rsidRDefault="00AC7889" w:rsidP="00AC7889">
            <w:pPr>
              <w:tabs>
                <w:tab w:val="center" w:pos="4320"/>
                <w:tab w:val="right" w:pos="8640"/>
              </w:tabs>
              <w:ind w:left="294" w:hanging="294"/>
              <w:jc w:val="left"/>
              <w:rPr>
                <w:rFonts w:cs="Arial"/>
                <w:sz w:val="18"/>
                <w:szCs w:val="18"/>
              </w:rPr>
            </w:pPr>
            <w:r w:rsidRPr="002740E3">
              <w:rPr>
                <w:rFonts w:cs="Arial"/>
                <w:sz w:val="18"/>
                <w:szCs w:val="18"/>
              </w:rPr>
              <w:t>(a)</w:t>
            </w:r>
            <w:r w:rsidRPr="002740E3">
              <w:rPr>
                <w:rFonts w:cs="Arial"/>
                <w:sz w:val="18"/>
                <w:szCs w:val="18"/>
              </w:rPr>
              <w:tab/>
              <w:t>A quantitative rating system is used to make the assessment process transparent and uniform across countries.</w:t>
            </w:r>
          </w:p>
        </w:tc>
        <w:tc>
          <w:tcPr>
            <w:tcW w:w="0" w:type="auto"/>
          </w:tcPr>
          <w:p w:rsidR="00AC7889" w:rsidRPr="002740E3" w:rsidRDefault="00AC7889" w:rsidP="00816F56">
            <w:pPr>
              <w:tabs>
                <w:tab w:val="center" w:pos="4320"/>
                <w:tab w:val="right" w:pos="8640"/>
              </w:tabs>
              <w:jc w:val="left"/>
              <w:rPr>
                <w:rFonts w:cs="Arial"/>
                <w:sz w:val="18"/>
                <w:szCs w:val="18"/>
              </w:rPr>
            </w:pPr>
          </w:p>
        </w:tc>
        <w:tc>
          <w:tcPr>
            <w:tcW w:w="0" w:type="auto"/>
          </w:tcPr>
          <w:p w:rsidR="00AC7889" w:rsidRPr="002740E3" w:rsidRDefault="00AC7889" w:rsidP="00816F56">
            <w:pPr>
              <w:tabs>
                <w:tab w:val="center" w:pos="4320"/>
                <w:tab w:val="right" w:pos="8640"/>
              </w:tabs>
              <w:jc w:val="left"/>
              <w:rPr>
                <w:rFonts w:cs="Arial"/>
                <w:sz w:val="18"/>
                <w:szCs w:val="18"/>
              </w:rPr>
            </w:pPr>
          </w:p>
        </w:tc>
      </w:tr>
      <w:tr w:rsidR="0029461A" w:rsidRPr="002740E3" w:rsidTr="00CC12E7">
        <w:trPr>
          <w:trHeight w:val="1953"/>
        </w:trPr>
        <w:tc>
          <w:tcPr>
            <w:tcW w:w="0" w:type="auto"/>
          </w:tcPr>
          <w:p w:rsidR="0029461A" w:rsidRPr="002740E3" w:rsidRDefault="0029461A" w:rsidP="00816F56">
            <w:pPr>
              <w:tabs>
                <w:tab w:val="center" w:pos="4320"/>
                <w:tab w:val="right" w:pos="8640"/>
              </w:tabs>
              <w:ind w:left="450" w:hanging="450"/>
              <w:jc w:val="left"/>
              <w:rPr>
                <w:rFonts w:cs="Arial"/>
                <w:sz w:val="18"/>
                <w:szCs w:val="18"/>
              </w:rPr>
            </w:pPr>
            <w:r w:rsidRPr="002740E3">
              <w:rPr>
                <w:rFonts w:cs="Arial"/>
                <w:i/>
                <w:sz w:val="18"/>
                <w:szCs w:val="18"/>
              </w:rPr>
              <w:t>Rating Criteria</w:t>
            </w:r>
            <w:r w:rsidRPr="002740E3">
              <w:rPr>
                <w:rFonts w:cs="Arial"/>
                <w:sz w:val="18"/>
                <w:szCs w:val="18"/>
              </w:rPr>
              <w:t xml:space="preserve"> </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w:t>
            </w:r>
            <w:r w:rsidRPr="002740E3">
              <w:rPr>
                <w:rFonts w:cs="Arial"/>
                <w:sz w:val="18"/>
                <w:szCs w:val="18"/>
              </w:rPr>
              <w:tab/>
              <w:t xml:space="preserve">If a quantitative rating is undertaken, ratings of </w:t>
            </w:r>
          </w:p>
          <w:p w:rsidR="0029461A" w:rsidRPr="002740E3" w:rsidRDefault="0029461A" w:rsidP="00816F56">
            <w:pPr>
              <w:ind w:left="282" w:hanging="282"/>
              <w:jc w:val="left"/>
              <w:rPr>
                <w:rFonts w:cs="Arial"/>
                <w:sz w:val="18"/>
                <w:szCs w:val="18"/>
              </w:rPr>
            </w:pPr>
            <w:r w:rsidRPr="002740E3">
              <w:rPr>
                <w:rFonts w:cs="Arial"/>
                <w:sz w:val="18"/>
                <w:szCs w:val="18"/>
              </w:rPr>
              <w:t>the mandatory evaluation criteria (relevance, efficiency, effectiveness, sustainability, and impact) needed</w:t>
            </w:r>
          </w:p>
          <w:p w:rsidR="0029461A" w:rsidRPr="002740E3" w:rsidRDefault="0029461A" w:rsidP="00404E2E">
            <w:pPr>
              <w:ind w:left="282" w:hanging="282"/>
              <w:jc w:val="left"/>
              <w:rPr>
                <w:rFonts w:cs="Arial"/>
                <w:sz w:val="18"/>
                <w:szCs w:val="18"/>
              </w:rPr>
            </w:pPr>
            <w:r w:rsidRPr="002740E3">
              <w:rPr>
                <w:rFonts w:cs="Arial"/>
                <w:sz w:val="18"/>
                <w:szCs w:val="18"/>
              </w:rPr>
              <w:t>(b)</w:t>
            </w:r>
            <w:r w:rsidRPr="002740E3">
              <w:rPr>
                <w:rFonts w:cs="Arial"/>
                <w:sz w:val="18"/>
                <w:szCs w:val="18"/>
              </w:rPr>
              <w:tab/>
              <w:t>If a quantitative rating is undertaken, ratings accorded for each criterion presented separately to make the performance assessment transparent</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76" w:hanging="276"/>
              <w:jc w:val="left"/>
              <w:rPr>
                <w:rFonts w:cs="Arial"/>
                <w:sz w:val="18"/>
                <w:szCs w:val="18"/>
              </w:rPr>
            </w:pPr>
            <w:r w:rsidRPr="002740E3">
              <w:rPr>
                <w:rFonts w:cs="Arial"/>
                <w:sz w:val="18"/>
                <w:szCs w:val="18"/>
              </w:rPr>
              <w:t>(a)</w:t>
            </w:r>
            <w:r w:rsidRPr="002740E3">
              <w:rPr>
                <w:rFonts w:cs="Arial"/>
                <w:sz w:val="18"/>
                <w:szCs w:val="18"/>
              </w:rPr>
              <w:tab/>
              <w:t>If a quantitative rating is undertaken, ratings of the additional evaluation criteria (positioning, coherence, institutional development, borrower and MDB performance, and partner coordination) considered optional</w:t>
            </w:r>
          </w:p>
          <w:p w:rsidR="0029461A" w:rsidRPr="002740E3" w:rsidRDefault="0029461A" w:rsidP="00816F56">
            <w:pPr>
              <w:tabs>
                <w:tab w:val="center" w:pos="4320"/>
                <w:tab w:val="right" w:pos="8640"/>
              </w:tabs>
              <w:ind w:left="249" w:hanging="249"/>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ind w:left="450" w:hanging="450"/>
              <w:jc w:val="left"/>
              <w:rPr>
                <w:rFonts w:cs="Arial"/>
                <w:sz w:val="18"/>
                <w:szCs w:val="18"/>
              </w:rPr>
            </w:pPr>
            <w:r w:rsidRPr="002740E3">
              <w:rPr>
                <w:rFonts w:cs="Arial"/>
                <w:i/>
                <w:sz w:val="18"/>
                <w:szCs w:val="18"/>
              </w:rPr>
              <w:t>Rating Subcriteria</w:t>
            </w:r>
          </w:p>
        </w:tc>
        <w:tc>
          <w:tcPr>
            <w:tcW w:w="0" w:type="auto"/>
          </w:tcPr>
          <w:p w:rsidR="0029461A" w:rsidRPr="002740E3" w:rsidRDefault="0029461A" w:rsidP="00816F56">
            <w:pPr>
              <w:ind w:left="282" w:hanging="282"/>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49" w:hanging="249"/>
              <w:jc w:val="left"/>
              <w:rPr>
                <w:rFonts w:cs="Arial"/>
                <w:sz w:val="18"/>
                <w:szCs w:val="18"/>
              </w:rPr>
            </w:pPr>
            <w:r w:rsidRPr="002740E3">
              <w:rPr>
                <w:rFonts w:cs="Arial"/>
                <w:sz w:val="18"/>
                <w:szCs w:val="18"/>
              </w:rPr>
              <w:t>(a)</w:t>
            </w:r>
            <w:r w:rsidRPr="002740E3">
              <w:rPr>
                <w:rFonts w:cs="Arial"/>
                <w:sz w:val="18"/>
                <w:szCs w:val="18"/>
              </w:rPr>
              <w:tab/>
              <w:t>Defining subcriteria, if any, in a way that is applicable to specific country cases can help to provide an evaluative framework for more uniform, systematic, and comparable assessments.</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404E2E" w:rsidRPr="002740E3" w:rsidTr="00CC12E7">
        <w:tc>
          <w:tcPr>
            <w:tcW w:w="0" w:type="auto"/>
          </w:tcPr>
          <w:p w:rsidR="00404E2E" w:rsidRPr="002740E3" w:rsidRDefault="00404E2E" w:rsidP="00404E2E">
            <w:pPr>
              <w:tabs>
                <w:tab w:val="center" w:pos="4320"/>
                <w:tab w:val="right" w:pos="8640"/>
              </w:tabs>
              <w:ind w:left="450" w:hanging="450"/>
              <w:jc w:val="left"/>
              <w:rPr>
                <w:rFonts w:cs="Arial"/>
                <w:i/>
                <w:sz w:val="18"/>
                <w:szCs w:val="18"/>
              </w:rPr>
            </w:pPr>
            <w:r w:rsidRPr="002740E3">
              <w:rPr>
                <w:rFonts w:cs="Arial"/>
                <w:i/>
                <w:sz w:val="18"/>
                <w:szCs w:val="18"/>
              </w:rPr>
              <w:t>Weighting Criteria</w:t>
            </w:r>
          </w:p>
        </w:tc>
        <w:tc>
          <w:tcPr>
            <w:tcW w:w="0" w:type="auto"/>
          </w:tcPr>
          <w:p w:rsidR="00404E2E" w:rsidRPr="002740E3" w:rsidRDefault="00404E2E" w:rsidP="00816F56">
            <w:pPr>
              <w:ind w:left="282" w:hanging="282"/>
              <w:jc w:val="left"/>
              <w:rPr>
                <w:rFonts w:cs="Arial"/>
                <w:sz w:val="18"/>
                <w:szCs w:val="18"/>
              </w:rPr>
            </w:pPr>
          </w:p>
        </w:tc>
        <w:tc>
          <w:tcPr>
            <w:tcW w:w="0" w:type="auto"/>
          </w:tcPr>
          <w:p w:rsidR="00404E2E" w:rsidRPr="002740E3" w:rsidRDefault="00404E2E" w:rsidP="00816F56">
            <w:pPr>
              <w:tabs>
                <w:tab w:val="center" w:pos="4320"/>
                <w:tab w:val="right" w:pos="8640"/>
              </w:tabs>
              <w:jc w:val="left"/>
              <w:rPr>
                <w:rFonts w:cs="Arial"/>
                <w:sz w:val="18"/>
                <w:szCs w:val="18"/>
              </w:rPr>
            </w:pPr>
          </w:p>
        </w:tc>
        <w:tc>
          <w:tcPr>
            <w:tcW w:w="0" w:type="auto"/>
          </w:tcPr>
          <w:p w:rsidR="00404E2E" w:rsidRPr="002740E3" w:rsidRDefault="00404E2E" w:rsidP="00816F56">
            <w:pPr>
              <w:tabs>
                <w:tab w:val="center" w:pos="4320"/>
                <w:tab w:val="right" w:pos="8640"/>
              </w:tabs>
              <w:ind w:left="249" w:hanging="249"/>
              <w:jc w:val="left"/>
              <w:rPr>
                <w:rFonts w:cs="Arial"/>
                <w:sz w:val="18"/>
                <w:szCs w:val="18"/>
              </w:rPr>
            </w:pPr>
            <w:r w:rsidRPr="002740E3">
              <w:rPr>
                <w:rFonts w:cs="Arial"/>
                <w:sz w:val="18"/>
                <w:szCs w:val="18"/>
              </w:rPr>
              <w:t>(a)</w:t>
            </w:r>
            <w:r w:rsidRPr="002740E3">
              <w:rPr>
                <w:rFonts w:cs="Arial"/>
                <w:sz w:val="18"/>
                <w:szCs w:val="18"/>
              </w:rPr>
              <w:tab/>
              <w:t>If an overall rating is generated, more weight accorded to effectiveness, impact, and sustainability</w:t>
            </w:r>
          </w:p>
        </w:tc>
        <w:tc>
          <w:tcPr>
            <w:tcW w:w="0" w:type="auto"/>
          </w:tcPr>
          <w:p w:rsidR="00404E2E" w:rsidRPr="002740E3" w:rsidRDefault="00404E2E" w:rsidP="00816F56">
            <w:pPr>
              <w:tabs>
                <w:tab w:val="center" w:pos="4320"/>
                <w:tab w:val="right" w:pos="8640"/>
              </w:tabs>
              <w:jc w:val="left"/>
              <w:rPr>
                <w:rFonts w:cs="Arial"/>
                <w:sz w:val="18"/>
                <w:szCs w:val="18"/>
              </w:rPr>
            </w:pPr>
          </w:p>
        </w:tc>
        <w:tc>
          <w:tcPr>
            <w:tcW w:w="0" w:type="auto"/>
          </w:tcPr>
          <w:p w:rsidR="00404E2E" w:rsidRPr="002740E3" w:rsidRDefault="00404E2E" w:rsidP="00816F56">
            <w:pPr>
              <w:tabs>
                <w:tab w:val="center" w:pos="4320"/>
                <w:tab w:val="right" w:pos="8640"/>
              </w:tabs>
              <w:jc w:val="left"/>
              <w:rPr>
                <w:rFonts w:cs="Arial"/>
                <w:sz w:val="18"/>
                <w:szCs w:val="18"/>
              </w:rPr>
            </w:pPr>
          </w:p>
        </w:tc>
      </w:tr>
      <w:tr w:rsidR="0029461A" w:rsidRPr="002740E3" w:rsidTr="00CC12E7">
        <w:tc>
          <w:tcPr>
            <w:tcW w:w="0" w:type="auto"/>
            <w:gridSpan w:val="6"/>
          </w:tcPr>
          <w:p w:rsidR="0029461A" w:rsidRPr="002740E3" w:rsidRDefault="0029461A" w:rsidP="00816F56">
            <w:pPr>
              <w:tabs>
                <w:tab w:val="center" w:pos="4320"/>
                <w:tab w:val="right" w:pos="8640"/>
              </w:tabs>
              <w:jc w:val="left"/>
              <w:rPr>
                <w:rFonts w:cs="Arial"/>
                <w:sz w:val="18"/>
                <w:szCs w:val="18"/>
              </w:rPr>
            </w:pPr>
            <w:r w:rsidRPr="002740E3">
              <w:rPr>
                <w:rFonts w:cs="Arial"/>
                <w:b/>
                <w:sz w:val="18"/>
                <w:szCs w:val="18"/>
              </w:rPr>
              <w:t>C. Reporting-Related GPSs</w:t>
            </w:r>
          </w:p>
        </w:tc>
      </w:tr>
      <w:tr w:rsidR="0029461A" w:rsidRPr="002740E3" w:rsidTr="00CC12E7">
        <w:tc>
          <w:tcPr>
            <w:tcW w:w="0" w:type="auto"/>
          </w:tcPr>
          <w:p w:rsidR="0029461A" w:rsidRPr="002740E3" w:rsidRDefault="0029461A" w:rsidP="00C354F3">
            <w:pPr>
              <w:tabs>
                <w:tab w:val="left" w:pos="342"/>
              </w:tabs>
              <w:jc w:val="left"/>
              <w:rPr>
                <w:rFonts w:cs="Arial"/>
                <w:sz w:val="18"/>
                <w:szCs w:val="18"/>
              </w:rPr>
            </w:pPr>
            <w:r w:rsidRPr="002740E3">
              <w:rPr>
                <w:rFonts w:cs="Arial"/>
                <w:sz w:val="18"/>
                <w:szCs w:val="18"/>
              </w:rPr>
              <w:t>C.1.</w:t>
            </w:r>
            <w:r w:rsidRPr="002740E3">
              <w:rPr>
                <w:rFonts w:cs="Arial"/>
                <w:sz w:val="18"/>
                <w:szCs w:val="18"/>
              </w:rPr>
              <w:tab/>
              <w:t xml:space="preserve">Findings, Lessons, </w:t>
            </w:r>
            <w:r w:rsidR="00C354F3" w:rsidRPr="002740E3">
              <w:rPr>
                <w:rFonts w:cs="Arial"/>
                <w:sz w:val="18"/>
                <w:szCs w:val="18"/>
              </w:rPr>
              <w:t xml:space="preserve">and </w:t>
            </w:r>
            <w:r w:rsidRPr="002740E3">
              <w:rPr>
                <w:rFonts w:cs="Arial"/>
                <w:sz w:val="18"/>
                <w:szCs w:val="18"/>
              </w:rPr>
              <w:t>Recommendations</w:t>
            </w:r>
          </w:p>
        </w:tc>
        <w:tc>
          <w:tcPr>
            <w:tcW w:w="0" w:type="auto"/>
          </w:tcPr>
          <w:p w:rsidR="0029461A" w:rsidRPr="002740E3" w:rsidRDefault="00180787" w:rsidP="00816F56">
            <w:pPr>
              <w:tabs>
                <w:tab w:val="center" w:pos="4320"/>
                <w:tab w:val="right" w:pos="8640"/>
              </w:tabs>
              <w:ind w:left="282" w:hanging="282"/>
              <w:jc w:val="left"/>
              <w:rPr>
                <w:rFonts w:cs="Arial"/>
                <w:sz w:val="18"/>
                <w:szCs w:val="18"/>
              </w:rPr>
            </w:pPr>
            <w:r w:rsidRPr="002740E3">
              <w:rPr>
                <w:rFonts w:cs="Arial"/>
                <w:sz w:val="18"/>
                <w:szCs w:val="18"/>
              </w:rPr>
              <w:t xml:space="preserve">(a) Evaluation findings are </w:t>
            </w:r>
            <w:r w:rsidR="0029461A" w:rsidRPr="002740E3">
              <w:rPr>
                <w:rFonts w:cs="Arial"/>
                <w:sz w:val="18"/>
                <w:szCs w:val="18"/>
              </w:rPr>
              <w:t>country-specific, evidence-based, and follow from the evaluation questions.</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(b) Lessons are few in number and evidence-rooted, and have operational implications.</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 xml:space="preserve">(c) Recommendations are few in number, constructive, actionable, strategic, operational, and not obvious. </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342"/>
              </w:tabs>
              <w:jc w:val="left"/>
              <w:rPr>
                <w:rFonts w:cs="Arial"/>
                <w:sz w:val="18"/>
                <w:szCs w:val="18"/>
              </w:rPr>
            </w:pPr>
            <w:r w:rsidRPr="002740E3">
              <w:rPr>
                <w:rFonts w:cs="Arial"/>
                <w:sz w:val="18"/>
                <w:szCs w:val="18"/>
              </w:rPr>
              <w:lastRenderedPageBreak/>
              <w:t>C.2.</w:t>
            </w:r>
            <w:r w:rsidRPr="002740E3">
              <w:rPr>
                <w:rFonts w:cs="Arial"/>
                <w:sz w:val="18"/>
                <w:szCs w:val="18"/>
              </w:rPr>
              <w:tab/>
              <w:t>Reporting and Review</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(a) Uniform formats followed with latitude to tailor to the country case</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(b) Report covers country context, country strategy, program implementation, program outcomes and impacts, partnerships, thematic issues, lessons, and recommendations.</w:t>
            </w:r>
          </w:p>
          <w:p w:rsidR="0029461A" w:rsidRPr="002740E3" w:rsidRDefault="0029461A" w:rsidP="00816F56">
            <w:pPr>
              <w:tabs>
                <w:tab w:val="center" w:pos="4320"/>
                <w:tab w:val="right" w:pos="8640"/>
              </w:tabs>
              <w:ind w:left="282" w:hanging="282"/>
              <w:jc w:val="left"/>
              <w:rPr>
                <w:rFonts w:cs="Arial"/>
                <w:sz w:val="18"/>
                <w:szCs w:val="18"/>
              </w:rPr>
            </w:pPr>
            <w:r w:rsidRPr="002740E3">
              <w:rPr>
                <w:rFonts w:cs="Arial"/>
                <w:sz w:val="18"/>
                <w:szCs w:val="18"/>
              </w:rPr>
              <w:t>(c) Report presented in plain language and covers those issues that could be conclusively evaluated.</w:t>
            </w:r>
          </w:p>
          <w:p w:rsidR="0029461A" w:rsidRPr="002740E3" w:rsidRDefault="0029461A" w:rsidP="00F36B8E">
            <w:pPr>
              <w:ind w:left="282" w:hanging="282"/>
              <w:jc w:val="left"/>
              <w:rPr>
                <w:rFonts w:cs="Arial"/>
                <w:sz w:val="18"/>
                <w:szCs w:val="18"/>
              </w:rPr>
            </w:pPr>
            <w:r w:rsidRPr="002740E3">
              <w:rPr>
                <w:rFonts w:cs="Arial"/>
                <w:sz w:val="18"/>
                <w:szCs w:val="18"/>
              </w:rPr>
              <w:t>(d) Draft report and supporting studies rigorously reviewed internally and externally.</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76" w:hanging="276"/>
              <w:jc w:val="left"/>
              <w:rPr>
                <w:rFonts w:cs="Arial"/>
                <w:sz w:val="18"/>
                <w:szCs w:val="18"/>
              </w:rPr>
            </w:pPr>
            <w:r w:rsidRPr="002740E3">
              <w:rPr>
                <w:rFonts w:cs="Arial"/>
                <w:sz w:val="18"/>
                <w:szCs w:val="18"/>
              </w:rPr>
              <w:t>(a)</w:t>
            </w:r>
            <w:r w:rsidRPr="002740E3">
              <w:rPr>
                <w:rFonts w:cs="Arial"/>
                <w:sz w:val="18"/>
                <w:szCs w:val="18"/>
              </w:rPr>
              <w:tab/>
              <w:t>Where there are substantive disagreements during the review process, these will be reflected in the final CSPE report.</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342"/>
              </w:tabs>
              <w:jc w:val="left"/>
              <w:rPr>
                <w:rFonts w:cs="Arial"/>
                <w:sz w:val="18"/>
                <w:szCs w:val="18"/>
              </w:rPr>
            </w:pPr>
            <w:r w:rsidRPr="002740E3">
              <w:rPr>
                <w:rFonts w:cs="Arial"/>
                <w:sz w:val="18"/>
                <w:szCs w:val="18"/>
              </w:rPr>
              <w:t>C.3.</w:t>
            </w:r>
            <w:r w:rsidRPr="002740E3">
              <w:rPr>
                <w:rFonts w:cs="Arial"/>
                <w:sz w:val="18"/>
                <w:szCs w:val="18"/>
              </w:rPr>
              <w:tab/>
              <w:t>Making Findings</w:t>
            </w:r>
          </w:p>
          <w:p w:rsidR="0029461A" w:rsidRPr="002740E3" w:rsidRDefault="0029461A" w:rsidP="00816F56">
            <w:pPr>
              <w:tabs>
                <w:tab w:val="left" w:pos="102"/>
              </w:tabs>
              <w:jc w:val="left"/>
              <w:rPr>
                <w:rFonts w:cs="Arial"/>
                <w:sz w:val="18"/>
                <w:szCs w:val="18"/>
              </w:rPr>
            </w:pPr>
            <w:r w:rsidRPr="002740E3">
              <w:rPr>
                <w:rFonts w:cs="Arial"/>
                <w:sz w:val="18"/>
                <w:szCs w:val="18"/>
              </w:rPr>
              <w:t>Accessible</w:t>
            </w:r>
          </w:p>
        </w:tc>
        <w:tc>
          <w:tcPr>
            <w:tcW w:w="0" w:type="auto"/>
          </w:tcPr>
          <w:p w:rsidR="0029461A" w:rsidRPr="002740E3" w:rsidRDefault="0029461A" w:rsidP="00816F56">
            <w:pPr>
              <w:numPr>
                <w:ilvl w:val="1"/>
                <w:numId w:val="1"/>
              </w:numPr>
              <w:tabs>
                <w:tab w:val="clear" w:pos="1440"/>
              </w:tabs>
              <w:ind w:left="288" w:hanging="288"/>
              <w:jc w:val="left"/>
              <w:rPr>
                <w:rFonts w:cs="Arial"/>
                <w:sz w:val="18"/>
                <w:szCs w:val="18"/>
              </w:rPr>
            </w:pPr>
            <w:r w:rsidRPr="002740E3">
              <w:rPr>
                <w:rFonts w:cs="Arial"/>
                <w:sz w:val="18"/>
                <w:szCs w:val="18"/>
              </w:rPr>
              <w:t>CSPE findings published</w:t>
            </w:r>
          </w:p>
          <w:p w:rsidR="0029461A" w:rsidRPr="002740E3" w:rsidRDefault="0029461A" w:rsidP="00816F56">
            <w:pPr>
              <w:numPr>
                <w:ilvl w:val="1"/>
                <w:numId w:val="1"/>
              </w:numPr>
              <w:tabs>
                <w:tab w:val="clear" w:pos="1440"/>
              </w:tabs>
              <w:ind w:left="288" w:hanging="288"/>
              <w:jc w:val="left"/>
              <w:rPr>
                <w:rFonts w:cs="Arial"/>
                <w:sz w:val="18"/>
                <w:szCs w:val="18"/>
              </w:rPr>
            </w:pPr>
            <w:r w:rsidRPr="002740E3">
              <w:rPr>
                <w:rFonts w:cs="Arial"/>
                <w:sz w:val="18"/>
                <w:szCs w:val="18"/>
              </w:rPr>
              <w:t>To spotlight the diversity with which CSPE findings can be interpreted, CSPE publications will include formal views of management, government, and the board.</w:t>
            </w:r>
          </w:p>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76" w:hanging="276"/>
              <w:jc w:val="left"/>
              <w:rPr>
                <w:rFonts w:cs="Arial"/>
                <w:sz w:val="18"/>
                <w:szCs w:val="18"/>
              </w:rPr>
            </w:pPr>
            <w:r w:rsidRPr="002740E3">
              <w:rPr>
                <w:rFonts w:cs="Arial"/>
                <w:sz w:val="18"/>
                <w:szCs w:val="18"/>
              </w:rPr>
              <w:t>(a)</w:t>
            </w:r>
            <w:r w:rsidRPr="002740E3">
              <w:rPr>
                <w:rFonts w:cs="Arial"/>
                <w:sz w:val="18"/>
                <w:szCs w:val="18"/>
              </w:rPr>
              <w:tab/>
              <w:t>Outreach events may be held to boost the dissemination of CSPE findings.</w:t>
            </w:r>
          </w:p>
          <w:p w:rsidR="0029461A" w:rsidRPr="002740E3" w:rsidRDefault="0029461A" w:rsidP="00F36B8E">
            <w:pPr>
              <w:tabs>
                <w:tab w:val="center" w:pos="4320"/>
                <w:tab w:val="right" w:pos="8640"/>
              </w:tabs>
              <w:ind w:left="276" w:hanging="276"/>
              <w:jc w:val="left"/>
              <w:rPr>
                <w:rFonts w:cs="Arial"/>
                <w:sz w:val="18"/>
                <w:szCs w:val="18"/>
              </w:rPr>
            </w:pPr>
            <w:r w:rsidRPr="002740E3">
              <w:rPr>
                <w:rFonts w:cs="Arial"/>
                <w:sz w:val="18"/>
                <w:szCs w:val="18"/>
              </w:rPr>
              <w:t>(b)</w:t>
            </w:r>
            <w:r w:rsidRPr="002740E3">
              <w:rPr>
                <w:rFonts w:cs="Arial"/>
                <w:sz w:val="18"/>
                <w:szCs w:val="18"/>
              </w:rPr>
              <w:tab/>
              <w:t xml:space="preserve">A précis or other summary publication may be issued and findings translated into the local language to make CSPE findings more accessible. </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r w:rsidR="0029461A" w:rsidRPr="002740E3" w:rsidTr="00CC12E7">
        <w:tc>
          <w:tcPr>
            <w:tcW w:w="0" w:type="auto"/>
          </w:tcPr>
          <w:p w:rsidR="0029461A" w:rsidRPr="002740E3" w:rsidRDefault="0029461A" w:rsidP="00816F56">
            <w:pPr>
              <w:tabs>
                <w:tab w:val="left" w:pos="402"/>
              </w:tabs>
              <w:jc w:val="left"/>
              <w:rPr>
                <w:rFonts w:cs="Arial"/>
                <w:sz w:val="18"/>
                <w:szCs w:val="18"/>
              </w:rPr>
            </w:pPr>
            <w:r w:rsidRPr="002740E3">
              <w:rPr>
                <w:rFonts w:cs="Arial"/>
                <w:sz w:val="18"/>
                <w:szCs w:val="18"/>
              </w:rPr>
              <w:t>C.4.</w:t>
            </w:r>
            <w:r w:rsidRPr="002740E3">
              <w:rPr>
                <w:rFonts w:cs="Arial"/>
                <w:sz w:val="18"/>
                <w:szCs w:val="18"/>
              </w:rPr>
              <w:tab/>
              <w:t>Generalizing</w:t>
            </w:r>
          </w:p>
          <w:p w:rsidR="0029461A" w:rsidRPr="002740E3" w:rsidRDefault="0029461A" w:rsidP="00816F56">
            <w:pPr>
              <w:jc w:val="left"/>
              <w:rPr>
                <w:rFonts w:cs="Arial"/>
                <w:sz w:val="18"/>
                <w:szCs w:val="18"/>
              </w:rPr>
            </w:pPr>
            <w:r w:rsidRPr="002740E3">
              <w:rPr>
                <w:rFonts w:cs="Arial"/>
                <w:sz w:val="18"/>
                <w:szCs w:val="18"/>
              </w:rPr>
              <w:t>Findings and  Tracking Recommendations</w:t>
            </w:r>
          </w:p>
        </w:tc>
        <w:tc>
          <w:tcPr>
            <w:tcW w:w="0" w:type="auto"/>
          </w:tcPr>
          <w:p w:rsidR="0029461A" w:rsidRPr="002740E3" w:rsidRDefault="0029461A" w:rsidP="00816F56">
            <w:pPr>
              <w:tabs>
                <w:tab w:val="center" w:pos="4320"/>
                <w:tab w:val="right" w:pos="8640"/>
              </w:tabs>
              <w:ind w:left="282" w:hanging="282"/>
              <w:jc w:val="left"/>
              <w:rPr>
                <w:rFonts w:cs="Arial"/>
                <w:sz w:val="18"/>
                <w:szCs w:val="18"/>
              </w:rPr>
            </w:pPr>
            <w:r w:rsidRPr="002740E3">
              <w:rPr>
                <w:rFonts w:cs="Arial"/>
                <w:kern w:val="0"/>
                <w:sz w:val="18"/>
                <w:szCs w:val="18"/>
              </w:rPr>
              <w:t>(a) Annual and/or biannual reviews of evaluation findings summarize and compare CSPE findings</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ind w:left="249" w:hanging="249"/>
              <w:jc w:val="left"/>
              <w:rPr>
                <w:rFonts w:cs="Arial"/>
                <w:kern w:val="0"/>
                <w:sz w:val="18"/>
                <w:szCs w:val="18"/>
              </w:rPr>
            </w:pPr>
            <w:r w:rsidRPr="002740E3">
              <w:rPr>
                <w:rFonts w:cs="Arial"/>
                <w:kern w:val="0"/>
                <w:sz w:val="18"/>
                <w:szCs w:val="18"/>
              </w:rPr>
              <w:t>(a)</w:t>
            </w:r>
            <w:r w:rsidRPr="002740E3">
              <w:rPr>
                <w:rFonts w:cs="Arial"/>
                <w:kern w:val="0"/>
                <w:sz w:val="18"/>
                <w:szCs w:val="18"/>
              </w:rPr>
              <w:tab/>
              <w:t>Recommendation tracking systems or periodic reviews of the utilization of CSPE findings and recommendations prepared to track CSPE use</w:t>
            </w:r>
          </w:p>
        </w:tc>
        <w:tc>
          <w:tcPr>
            <w:tcW w:w="0" w:type="auto"/>
          </w:tcPr>
          <w:p w:rsidR="0029461A" w:rsidRPr="002740E3" w:rsidRDefault="0029461A" w:rsidP="00816F56">
            <w:pPr>
              <w:tabs>
                <w:tab w:val="center" w:pos="4320"/>
                <w:tab w:val="right" w:pos="8640"/>
              </w:tabs>
              <w:jc w:val="left"/>
              <w:rPr>
                <w:rFonts w:cs="Arial"/>
                <w:sz w:val="18"/>
                <w:szCs w:val="18"/>
              </w:rPr>
            </w:pPr>
          </w:p>
        </w:tc>
        <w:tc>
          <w:tcPr>
            <w:tcW w:w="0" w:type="auto"/>
          </w:tcPr>
          <w:p w:rsidR="0029461A" w:rsidRPr="002740E3" w:rsidRDefault="0029461A" w:rsidP="00816F56">
            <w:pPr>
              <w:tabs>
                <w:tab w:val="center" w:pos="4320"/>
                <w:tab w:val="right" w:pos="8640"/>
              </w:tabs>
              <w:jc w:val="left"/>
              <w:rPr>
                <w:rFonts w:cs="Arial"/>
                <w:sz w:val="18"/>
                <w:szCs w:val="18"/>
              </w:rPr>
            </w:pPr>
          </w:p>
        </w:tc>
      </w:tr>
    </w:tbl>
    <w:p w:rsidR="00F36B8E" w:rsidRPr="002740E3" w:rsidRDefault="00F36B8E" w:rsidP="00816F56">
      <w:pPr>
        <w:jc w:val="left"/>
        <w:rPr>
          <w:rFonts w:cs="Arial"/>
          <w:sz w:val="18"/>
          <w:szCs w:val="18"/>
        </w:rPr>
      </w:pPr>
    </w:p>
    <w:p w:rsidR="009B3431" w:rsidRPr="002740E3" w:rsidRDefault="0029461A" w:rsidP="00611438">
      <w:pPr>
        <w:jc w:val="left"/>
        <w:rPr>
          <w:rFonts w:cs="Arial"/>
          <w:sz w:val="18"/>
          <w:szCs w:val="18"/>
        </w:rPr>
      </w:pPr>
      <w:r w:rsidRPr="002740E3">
        <w:rPr>
          <w:rFonts w:cs="Arial"/>
          <w:sz w:val="18"/>
          <w:szCs w:val="18"/>
        </w:rPr>
        <w:t>CSPE = country strategy and program evaluation, GPS = good practice standard, MDB = multilateral development bank.</w:t>
      </w:r>
    </w:p>
    <w:sectPr w:rsidR="009B3431" w:rsidRPr="002740E3" w:rsidSect="0029461A">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0BA" w:rsidRPr="002E2FC1" w:rsidRDefault="009340BA" w:rsidP="0029461A">
      <w:r>
        <w:separator/>
      </w:r>
    </w:p>
  </w:endnote>
  <w:endnote w:type="continuationSeparator" w:id="1">
    <w:p w:rsidR="009340BA" w:rsidRPr="002E2FC1" w:rsidRDefault="009340BA" w:rsidP="0029461A">
      <w:r>
        <w:continuationSeparator/>
      </w:r>
    </w:p>
  </w:endnote>
  <w:endnote w:id="2">
    <w:p w:rsidR="00611438" w:rsidRPr="002740E3" w:rsidRDefault="00611438">
      <w:pPr>
        <w:pStyle w:val="EndnoteText"/>
      </w:pPr>
      <w:r w:rsidRPr="002740E3">
        <w:rPr>
          <w:rStyle w:val="EndnoteReference"/>
          <w:vertAlign w:val="baseline"/>
        </w:rPr>
        <w:endnoteRef/>
      </w:r>
      <w:r w:rsidRPr="002740E3">
        <w:t xml:space="preserve"> </w:t>
      </w:r>
      <w:r w:rsidRPr="002740E3">
        <w:rPr>
          <w:rFonts w:cs="Arial"/>
          <w:sz w:val="18"/>
          <w:szCs w:val="18"/>
        </w:rPr>
        <w:t>Alignment refers to the extent to which the MDB evaluation practice is fully, partly, or not harmonized with the relevant GPSs.</w:t>
      </w:r>
    </w:p>
  </w:endnote>
  <w:endnote w:id="3">
    <w:p w:rsidR="00611438" w:rsidRPr="002740E3" w:rsidRDefault="00611438" w:rsidP="00611438">
      <w:pPr>
        <w:ind w:left="187" w:hanging="187"/>
        <w:jc w:val="left"/>
        <w:rPr>
          <w:rFonts w:cs="Arial"/>
          <w:sz w:val="18"/>
          <w:szCs w:val="18"/>
        </w:rPr>
      </w:pPr>
      <w:r w:rsidRPr="002740E3">
        <w:rPr>
          <w:rStyle w:val="EndnoteReference"/>
          <w:vertAlign w:val="baseline"/>
        </w:rPr>
        <w:endnoteRef/>
      </w:r>
      <w:r w:rsidRPr="002740E3">
        <w:t xml:space="preserve"> </w:t>
      </w:r>
      <w:r w:rsidRPr="002740E3">
        <w:rPr>
          <w:rFonts w:cs="Arial"/>
          <w:sz w:val="18"/>
          <w:szCs w:val="18"/>
        </w:rPr>
        <w:t xml:space="preserve">The remarks section may be used to explain the reasons for divergence between the GPSs and </w:t>
      </w:r>
      <w:r w:rsidRPr="002740E3">
        <w:rPr>
          <w:rFonts w:cs="Arial"/>
          <w:sz w:val="18"/>
          <w:szCs w:val="18"/>
          <w:lang w:eastAsia="nl-NL"/>
        </w:rPr>
        <w:t>MDB</w:t>
      </w:r>
      <w:r w:rsidRPr="002740E3">
        <w:rPr>
          <w:rFonts w:cs="Arial"/>
          <w:sz w:val="18"/>
          <w:szCs w:val="18"/>
        </w:rPr>
        <w:t xml:space="preserve"> practice.</w:t>
      </w:r>
    </w:p>
    <w:p w:rsidR="00611438" w:rsidRPr="002740E3" w:rsidRDefault="00611438" w:rsidP="00611438">
      <w:pPr>
        <w:jc w:val="left"/>
      </w:pPr>
      <w:r w:rsidRPr="002740E3">
        <w:rPr>
          <w:sz w:val="18"/>
          <w:szCs w:val="18"/>
        </w:rPr>
        <w:t>Source: GPS on CSPE, 2008. Manila. Appendix 1.</w:t>
      </w:r>
    </w:p>
    <w:p w:rsidR="00611438" w:rsidRDefault="00611438">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Bold">
    <w:panose1 w:val="020B0704020202020204"/>
    <w:charset w:val="00"/>
    <w:family w:val="roman"/>
    <w:notTrueType/>
    <w:pitch w:val="default"/>
    <w:sig w:usb0="00000000" w:usb1="00000000" w:usb2="00000000" w:usb3="00000000" w:csb0="00000000" w:csb1="00000000"/>
  </w:font>
  <w:font w:name="ChelthmITC Bk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0BA" w:rsidRPr="002E2FC1" w:rsidRDefault="009340BA" w:rsidP="0029461A">
      <w:r>
        <w:separator/>
      </w:r>
    </w:p>
  </w:footnote>
  <w:footnote w:type="continuationSeparator" w:id="1">
    <w:p w:rsidR="009340BA" w:rsidRPr="002E2FC1" w:rsidRDefault="009340BA" w:rsidP="0029461A">
      <w:r>
        <w:continuationSeparator/>
      </w:r>
    </w:p>
  </w:footnote>
  <w:footnote w:id="2">
    <w:p w:rsidR="0029461A" w:rsidRPr="009B7AC7" w:rsidRDefault="0029461A" w:rsidP="0029461A">
      <w:pPr>
        <w:pStyle w:val="FootnoteText"/>
        <w:rPr>
          <w:rFonts w:cs="Arial"/>
          <w:sz w:val="18"/>
          <w:szCs w:val="18"/>
        </w:rPr>
      </w:pPr>
      <w:r w:rsidRPr="009B7AC7">
        <w:rPr>
          <w:rStyle w:val="FootnoteReference"/>
          <w:rFonts w:cs="Arial"/>
          <w:szCs w:val="18"/>
          <w:vertAlign w:val="baseline"/>
        </w:rPr>
        <w:footnoteRef/>
      </w:r>
      <w:r w:rsidRPr="009B7AC7">
        <w:rPr>
          <w:rFonts w:cs="Arial"/>
          <w:sz w:val="18"/>
          <w:szCs w:val="18"/>
        </w:rPr>
        <w:t xml:space="preserve">  A baseline of CSPE practices for AfDB, AsDB, IADB, and WBG is included in the self-assessment questionnaires provided in </w:t>
      </w:r>
      <w:r w:rsidR="00816F56" w:rsidRPr="009B7AC7">
        <w:rPr>
          <w:rFonts w:cs="Arial"/>
          <w:sz w:val="18"/>
          <w:szCs w:val="18"/>
        </w:rPr>
        <w:t xml:space="preserve">Tabor, Steven and Suganya Hutaserani. 2007. </w:t>
      </w:r>
      <w:r w:rsidR="00816F56" w:rsidRPr="009B7AC7">
        <w:rPr>
          <w:rFonts w:cs="Arial"/>
          <w:i/>
          <w:sz w:val="18"/>
          <w:szCs w:val="18"/>
        </w:rPr>
        <w:t>Phase I Background Report for the Preparation of GPS for CSPEs</w:t>
      </w:r>
      <w:r w:rsidRPr="009B7AC7">
        <w:rPr>
          <w:rFonts w:cs="Arial"/>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E66"/>
    <w:multiLevelType w:val="multilevel"/>
    <w:tmpl w:val="D11EF524"/>
    <w:lvl w:ilvl="0">
      <w:start w:val="1"/>
      <w:numFmt w:val="decimal"/>
      <w:lvlText w:val="%1."/>
      <w:lvlJc w:val="left"/>
      <w:pPr>
        <w:ind w:left="0" w:hanging="576"/>
      </w:pPr>
      <w:rPr>
        <w:rFonts w:hint="default"/>
      </w:rPr>
    </w:lvl>
    <w:lvl w:ilvl="1">
      <w:start w:val="1"/>
      <w:numFmt w:val="lowerLetter"/>
      <w:lvlText w:val="%2)"/>
      <w:lvlJc w:val="left"/>
      <w:pPr>
        <w:ind w:left="0" w:hanging="576"/>
      </w:pPr>
      <w:rPr>
        <w:rFonts w:hint="default"/>
      </w:rPr>
    </w:lvl>
    <w:lvl w:ilvl="2">
      <w:start w:val="1"/>
      <w:numFmt w:val="lowerRoman"/>
      <w:lvlText w:val="%3)"/>
      <w:lvlJc w:val="left"/>
      <w:pPr>
        <w:ind w:left="0" w:hanging="576"/>
      </w:pPr>
      <w:rPr>
        <w:rFonts w:hint="default"/>
      </w:rPr>
    </w:lvl>
    <w:lvl w:ilvl="3">
      <w:start w:val="1"/>
      <w:numFmt w:val="decimal"/>
      <w:lvlText w:val="(%4)"/>
      <w:lvlJc w:val="left"/>
      <w:pPr>
        <w:ind w:left="0" w:hanging="576"/>
      </w:pPr>
      <w:rPr>
        <w:rFonts w:hint="default"/>
      </w:rPr>
    </w:lvl>
    <w:lvl w:ilvl="4">
      <w:start w:val="1"/>
      <w:numFmt w:val="lowerLetter"/>
      <w:lvlText w:val="(%5)"/>
      <w:lvlJc w:val="left"/>
      <w:pPr>
        <w:ind w:left="0" w:hanging="576"/>
      </w:pPr>
      <w:rPr>
        <w:rFonts w:hint="default"/>
      </w:rPr>
    </w:lvl>
    <w:lvl w:ilvl="5">
      <w:start w:val="1"/>
      <w:numFmt w:val="lowerRoman"/>
      <w:lvlText w:val="(%6)"/>
      <w:lvlJc w:val="left"/>
      <w:pPr>
        <w:ind w:left="0" w:hanging="576"/>
      </w:pPr>
      <w:rPr>
        <w:rFonts w:hint="default"/>
      </w:rPr>
    </w:lvl>
    <w:lvl w:ilvl="6">
      <w:start w:val="1"/>
      <w:numFmt w:val="decimal"/>
      <w:lvlText w:val="%7."/>
      <w:lvlJc w:val="left"/>
      <w:pPr>
        <w:ind w:left="0" w:hanging="576"/>
      </w:pPr>
      <w:rPr>
        <w:rFonts w:hint="default"/>
      </w:rPr>
    </w:lvl>
    <w:lvl w:ilvl="7">
      <w:start w:val="1"/>
      <w:numFmt w:val="lowerLetter"/>
      <w:lvlText w:val="%8."/>
      <w:lvlJc w:val="left"/>
      <w:pPr>
        <w:ind w:left="0" w:hanging="576"/>
      </w:pPr>
      <w:rPr>
        <w:rFonts w:hint="default"/>
      </w:rPr>
    </w:lvl>
    <w:lvl w:ilvl="8">
      <w:start w:val="1"/>
      <w:numFmt w:val="lowerRoman"/>
      <w:lvlText w:val="%9."/>
      <w:lvlJc w:val="left"/>
      <w:pPr>
        <w:ind w:left="0" w:hanging="576"/>
      </w:pPr>
      <w:rPr>
        <w:rFonts w:hint="default"/>
      </w:rPr>
    </w:lvl>
  </w:abstractNum>
  <w:abstractNum w:abstractNumId="1">
    <w:nsid w:val="2DB370D2"/>
    <w:multiLevelType w:val="hybridMultilevel"/>
    <w:tmpl w:val="1D42C934"/>
    <w:lvl w:ilvl="0" w:tplc="7FAEBD64">
      <w:start w:val="1"/>
      <w:numFmt w:val="decimal"/>
      <w:lvlText w:val="%1."/>
      <w:lvlJc w:val="left"/>
      <w:pPr>
        <w:tabs>
          <w:tab w:val="num" w:pos="720"/>
        </w:tabs>
        <w:ind w:left="720" w:hanging="720"/>
      </w:pPr>
      <w:rPr>
        <w:rFonts w:ascii="Arial" w:hAnsi="Arial" w:hint="default"/>
        <w:b w:val="0"/>
        <w:i w:val="0"/>
        <w:sz w:val="22"/>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087C26"/>
    <w:multiLevelType w:val="hybridMultilevel"/>
    <w:tmpl w:val="B61CD008"/>
    <w:lvl w:ilvl="0" w:tplc="FEFE0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9461A"/>
    <w:rsid w:val="0009693D"/>
    <w:rsid w:val="000A772F"/>
    <w:rsid w:val="00133001"/>
    <w:rsid w:val="00180787"/>
    <w:rsid w:val="001C2184"/>
    <w:rsid w:val="00226272"/>
    <w:rsid w:val="00233E4B"/>
    <w:rsid w:val="00250485"/>
    <w:rsid w:val="00252E03"/>
    <w:rsid w:val="002740E3"/>
    <w:rsid w:val="0029461A"/>
    <w:rsid w:val="00377FA6"/>
    <w:rsid w:val="0040305B"/>
    <w:rsid w:val="00404E2E"/>
    <w:rsid w:val="004513F5"/>
    <w:rsid w:val="00490A9A"/>
    <w:rsid w:val="004D6D6F"/>
    <w:rsid w:val="004F25B8"/>
    <w:rsid w:val="00611438"/>
    <w:rsid w:val="00691B83"/>
    <w:rsid w:val="007B4D47"/>
    <w:rsid w:val="007B4DBC"/>
    <w:rsid w:val="007D2D7B"/>
    <w:rsid w:val="007E207F"/>
    <w:rsid w:val="008151F6"/>
    <w:rsid w:val="00816F56"/>
    <w:rsid w:val="0088138B"/>
    <w:rsid w:val="009340BA"/>
    <w:rsid w:val="00972B65"/>
    <w:rsid w:val="009B3431"/>
    <w:rsid w:val="009B7AC7"/>
    <w:rsid w:val="00AA0E25"/>
    <w:rsid w:val="00AC7889"/>
    <w:rsid w:val="00B91455"/>
    <w:rsid w:val="00C171FE"/>
    <w:rsid w:val="00C354F3"/>
    <w:rsid w:val="00CC12E7"/>
    <w:rsid w:val="00E5402D"/>
    <w:rsid w:val="00E82A1E"/>
    <w:rsid w:val="00F36B8E"/>
    <w:rsid w:val="00FD0143"/>
    <w:rsid w:val="00FF4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1A"/>
    <w:pPr>
      <w:widowControl w:val="0"/>
      <w:jc w:val="both"/>
    </w:pPr>
    <w:rPr>
      <w:rFonts w:ascii="Arial" w:eastAsia="SimSun" w:hAnsi="Arial"/>
      <w:kern w:val="2"/>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
    <w:basedOn w:val="DefaultParagraphFont"/>
    <w:uiPriority w:val="99"/>
    <w:rsid w:val="0029461A"/>
    <w:rPr>
      <w:rFonts w:ascii="Arial" w:hAnsi="Arial"/>
      <w:sz w:val="18"/>
      <w:vertAlign w:val="superscript"/>
    </w:rPr>
  </w:style>
  <w:style w:type="paragraph" w:styleId="FootnoteText">
    <w:name w:val="footnote text"/>
    <w:aliases w:val="FOOTNOTES,fn,single space,footnote text,ft"/>
    <w:basedOn w:val="Normal"/>
    <w:link w:val="FootnoteTextChar"/>
    <w:uiPriority w:val="99"/>
    <w:qFormat/>
    <w:rsid w:val="0029461A"/>
    <w:pPr>
      <w:ind w:left="187" w:hanging="187"/>
    </w:pPr>
    <w:rPr>
      <w:sz w:val="20"/>
      <w:szCs w:val="20"/>
    </w:rPr>
  </w:style>
  <w:style w:type="character" w:customStyle="1" w:styleId="FootnoteTextChar">
    <w:name w:val="Footnote Text Char"/>
    <w:aliases w:val="FOOTNOTES Char,fn Char,single space Char,footnote text Char,ft Char"/>
    <w:basedOn w:val="DefaultParagraphFont"/>
    <w:link w:val="FootnoteText"/>
    <w:uiPriority w:val="99"/>
    <w:rsid w:val="0029461A"/>
    <w:rPr>
      <w:rFonts w:ascii="Arial" w:eastAsia="SimSun" w:hAnsi="Arial"/>
      <w:kern w:val="2"/>
      <w:lang w:eastAsia="zh-CN"/>
    </w:rPr>
  </w:style>
  <w:style w:type="paragraph" w:customStyle="1" w:styleId="AppHead">
    <w:name w:val="AppHead"/>
    <w:basedOn w:val="Normal"/>
    <w:rsid w:val="0029461A"/>
    <w:pPr>
      <w:jc w:val="center"/>
    </w:pPr>
    <w:rPr>
      <w:rFonts w:ascii="Arial Bold" w:hAnsi="Arial Bold" w:cs="Arial"/>
      <w:b/>
      <w:caps/>
      <w:szCs w:val="22"/>
      <w:lang w:val="en-GB"/>
    </w:rPr>
  </w:style>
  <w:style w:type="paragraph" w:styleId="ListParagraph">
    <w:name w:val="List Paragraph"/>
    <w:basedOn w:val="Normal"/>
    <w:uiPriority w:val="34"/>
    <w:qFormat/>
    <w:rsid w:val="0029461A"/>
    <w:pPr>
      <w:ind w:left="720"/>
    </w:pPr>
  </w:style>
  <w:style w:type="paragraph" w:styleId="EndnoteText">
    <w:name w:val="endnote text"/>
    <w:basedOn w:val="Normal"/>
    <w:link w:val="EndnoteTextChar"/>
    <w:uiPriority w:val="99"/>
    <w:semiHidden/>
    <w:unhideWhenUsed/>
    <w:rsid w:val="00611438"/>
    <w:rPr>
      <w:sz w:val="20"/>
      <w:szCs w:val="20"/>
    </w:rPr>
  </w:style>
  <w:style w:type="character" w:customStyle="1" w:styleId="EndnoteTextChar">
    <w:name w:val="Endnote Text Char"/>
    <w:basedOn w:val="DefaultParagraphFont"/>
    <w:link w:val="EndnoteText"/>
    <w:uiPriority w:val="99"/>
    <w:semiHidden/>
    <w:rsid w:val="00611438"/>
    <w:rPr>
      <w:rFonts w:ascii="Arial" w:eastAsia="SimSun" w:hAnsi="Arial"/>
      <w:kern w:val="2"/>
      <w:lang w:eastAsia="zh-CN"/>
    </w:rPr>
  </w:style>
  <w:style w:type="character" w:styleId="EndnoteReference">
    <w:name w:val="endnote reference"/>
    <w:basedOn w:val="DefaultParagraphFont"/>
    <w:uiPriority w:val="99"/>
    <w:semiHidden/>
    <w:unhideWhenUsed/>
    <w:rsid w:val="0061143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45173-D400-4A5B-A256-B33FD53D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therese2</dc:creator>
  <cp:keywords/>
  <dc:description/>
  <cp:lastModifiedBy> therese2</cp:lastModifiedBy>
  <cp:revision>14</cp:revision>
  <dcterms:created xsi:type="dcterms:W3CDTF">2013-06-26T11:42:00Z</dcterms:created>
  <dcterms:modified xsi:type="dcterms:W3CDTF">2013-06-26T12:13:00Z</dcterms:modified>
</cp:coreProperties>
</file>